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Liberation Sans" w:hAnsi="Liberation Sans"/>
          <w:b/>
          <w:color w:val="0B1F33"/>
          <w:sz w:val="52"/>
        </w:rPr>
        <w:t>Fattori umani nella Cybersecurity</w:t>
      </w:r>
    </w:p>
    <w:p>
      <w:pPr>
        <w:spacing w:after="200"/>
      </w:pPr>
      <w:r>
        <w:rPr>
          <w:rFonts w:ascii="Liberation Sans" w:hAnsi="Liberation Sans"/>
          <w:color w:val="00A6A6"/>
          <w:sz w:val="25"/>
        </w:rPr>
        <w:t>Overview docente - mappa mentale del corso, 8 moduli / 24 lezioni</w:t>
      </w:r>
    </w:p>
    <w:tbl>
      <w:tblPr>
        <w:tblW w:type="auto" w:w="0"/>
        <w:jc w:val="center"/>
        <w:tblLayout w:type="autofit"/>
        <w:tblLook w:firstColumn="1" w:firstRow="1" w:lastColumn="0" w:lastRow="0" w:noHBand="0" w:noVBand="1" w:val="04A0"/>
      </w:tblPr>
      <w:tblGrid>
        <w:gridCol w:w="10224"/>
      </w:tblGrid>
      <w:tr>
        <w:tc>
          <w:tcPr>
            <w:tcW w:type="dxa" w:w="10224"/>
            <w:shd w:fill="EAF2F6"/>
            <w:tcMar>
              <w:top w:w="140" w:type="dxa"/>
              <w:start w:w="180" w:type="dxa"/>
              <w:bottom w:w="140" w:type="dxa"/>
              <w:end w:w="180" w:type="dxa"/>
            </w:tcMar>
          </w:tcPr>
          <w:p>
            <w:pPr>
              <w:pStyle w:val="Callout"/>
              <w:ind w:left="0"/>
            </w:pPr>
            <w:r>
              <w:rPr>
                <w:color w:val="0B1F33"/>
              </w:rPr>
              <w:t>North star del corso: HUMAN FACTOR ≠ HUMAN FAULT. La competenza finale non e ricordare una tassonomia, ma saper costruire una diagnosi human-centred prudente, verificabile e utile al design.</w:t>
            </w:r>
          </w:p>
        </w:tc>
      </w:tr>
    </w:tbl>
    <w:p>
      <w:pPr>
        <w:pStyle w:val="Heading1"/>
      </w:pPr>
      <w:r>
        <w:t>1. La narrativa in una pagina</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2556"/>
            <w:shd w:fill="0B1F33"/>
            <w:tcMar>
              <w:top w:w="100" w:type="dxa"/>
              <w:start w:w="120" w:type="dxa"/>
              <w:bottom w:w="100" w:type="dxa"/>
              <w:end w:w="120" w:type="dxa"/>
            </w:tcMar>
          </w:tcPr>
          <w:p>
            <w:pPr>
              <w:jc w:val="center"/>
            </w:pPr>
            <w:r>
              <w:rPr>
                <w:b/>
                <w:color w:val="FFFFFF"/>
                <w:sz w:val="18"/>
              </w:rPr>
              <w:t>Arco</w:t>
            </w:r>
          </w:p>
        </w:tc>
        <w:tc>
          <w:tcPr>
            <w:tcW w:type="dxa" w:w="2556"/>
            <w:shd w:fill="0B1F33"/>
            <w:tcMar>
              <w:top w:w="100" w:type="dxa"/>
              <w:start w:w="120" w:type="dxa"/>
              <w:bottom w:w="100" w:type="dxa"/>
              <w:end w:w="120" w:type="dxa"/>
            </w:tcMar>
          </w:tcPr>
          <w:p>
            <w:pPr>
              <w:jc w:val="center"/>
            </w:pPr>
            <w:r>
              <w:rPr>
                <w:b/>
                <w:color w:val="FFFFFF"/>
                <w:sz w:val="18"/>
              </w:rPr>
              <w:t>Moduli</w:t>
            </w:r>
          </w:p>
        </w:tc>
        <w:tc>
          <w:tcPr>
            <w:tcW w:type="dxa" w:w="2556"/>
            <w:shd w:fill="0B1F33"/>
            <w:tcMar>
              <w:top w:w="100" w:type="dxa"/>
              <w:start w:w="120" w:type="dxa"/>
              <w:bottom w:w="100" w:type="dxa"/>
              <w:end w:w="120" w:type="dxa"/>
            </w:tcMar>
          </w:tcPr>
          <w:p>
            <w:pPr>
              <w:jc w:val="center"/>
            </w:pPr>
            <w:r>
              <w:rPr>
                <w:b/>
                <w:color w:val="FFFFFF"/>
                <w:sz w:val="18"/>
              </w:rPr>
              <w:t>Domanda guida</w:t>
            </w:r>
          </w:p>
        </w:tc>
        <w:tc>
          <w:tcPr>
            <w:tcW w:type="dxa" w:w="2556"/>
            <w:shd w:fill="0B1F33"/>
            <w:tcMar>
              <w:top w:w="100" w:type="dxa"/>
              <w:start w:w="120" w:type="dxa"/>
              <w:bottom w:w="100" w:type="dxa"/>
              <w:end w:w="120" w:type="dxa"/>
            </w:tcMar>
          </w:tcPr>
          <w:p>
            <w:pPr>
              <w:jc w:val="center"/>
            </w:pPr>
            <w:r>
              <w:rPr>
                <w:b/>
                <w:color w:val="FFFFFF"/>
                <w:sz w:val="18"/>
              </w:rPr>
              <w:t>Movimento didattico</w:t>
            </w:r>
          </w:p>
        </w:tc>
      </w:tr>
      <w:tr>
        <w:trPr>
          <w:cantSplit/>
        </w:trPr>
        <w:tc>
          <w:tcPr>
            <w:tcW w:type="dxa" w:w="2556"/>
            <w:tcMar>
              <w:top w:w="90" w:type="dxa"/>
              <w:start w:w="120" w:type="dxa"/>
              <w:bottom w:w="90" w:type="dxa"/>
              <w:end w:w="120" w:type="dxa"/>
            </w:tcMar>
            <w:vAlign w:val="center"/>
          </w:tcPr>
          <w:p>
            <w:r>
              <w:rPr>
                <w:b/>
              </w:rPr>
              <w:t>WHY</w:t>
            </w:r>
          </w:p>
        </w:tc>
        <w:tc>
          <w:tcPr>
            <w:tcW w:type="dxa" w:w="2556"/>
            <w:tcMar>
              <w:top w:w="90" w:type="dxa"/>
              <w:start w:w="120" w:type="dxa"/>
              <w:bottom w:w="90" w:type="dxa"/>
              <w:end w:w="120" w:type="dxa"/>
            </w:tcMar>
            <w:vAlign w:val="center"/>
          </w:tcPr>
          <w:p>
            <w:r>
              <w:t>M1</w:t>
            </w:r>
          </w:p>
        </w:tc>
        <w:tc>
          <w:tcPr>
            <w:tcW w:type="dxa" w:w="2556"/>
            <w:tcMar>
              <w:top w:w="90" w:type="dxa"/>
              <w:start w:w="120" w:type="dxa"/>
              <w:bottom w:w="90" w:type="dxa"/>
              <w:end w:w="120" w:type="dxa"/>
            </w:tcMar>
            <w:vAlign w:val="center"/>
          </w:tcPr>
          <w:p>
            <w:r>
              <w:t>Perche la sicurezza non e soltanto tecnica?</w:t>
            </w:r>
          </w:p>
        </w:tc>
        <w:tc>
          <w:tcPr>
            <w:tcW w:type="dxa" w:w="2556"/>
            <w:tcMar>
              <w:top w:w="90" w:type="dxa"/>
              <w:start w:w="120" w:type="dxa"/>
              <w:bottom w:w="90" w:type="dxa"/>
              <w:end w:w="120" w:type="dxa"/>
            </w:tcMar>
            <w:vAlign w:val="center"/>
          </w:tcPr>
          <w:p>
            <w:r>
              <w:t>Dall'evento alla lettura sociotecnica.</w:t>
            </w:r>
          </w:p>
        </w:tc>
      </w:tr>
      <w:tr>
        <w:trPr>
          <w:cantSplit/>
        </w:trPr>
        <w:tc>
          <w:tcPr>
            <w:tcW w:type="dxa" w:w="2556"/>
            <w:tcMar>
              <w:top w:w="90" w:type="dxa"/>
              <w:start w:w="120" w:type="dxa"/>
              <w:bottom w:w="90" w:type="dxa"/>
              <w:end w:w="120" w:type="dxa"/>
            </w:tcMar>
            <w:vAlign w:val="center"/>
          </w:tcPr>
          <w:p>
            <w:r>
              <w:rPr>
                <w:b/>
              </w:rPr>
              <w:t>MODEL</w:t>
            </w:r>
          </w:p>
        </w:tc>
        <w:tc>
          <w:tcPr>
            <w:tcW w:type="dxa" w:w="2556"/>
            <w:tcMar>
              <w:top w:w="90" w:type="dxa"/>
              <w:start w:w="120" w:type="dxa"/>
              <w:bottom w:w="90" w:type="dxa"/>
              <w:end w:w="120" w:type="dxa"/>
            </w:tcMar>
            <w:vAlign w:val="center"/>
          </w:tcPr>
          <w:p>
            <w:r>
              <w:t>M2</w:t>
            </w:r>
          </w:p>
        </w:tc>
        <w:tc>
          <w:tcPr>
            <w:tcW w:type="dxa" w:w="2556"/>
            <w:tcMar>
              <w:top w:w="90" w:type="dxa"/>
              <w:start w:w="120" w:type="dxa"/>
              <w:bottom w:w="90" w:type="dxa"/>
              <w:end w:w="120" w:type="dxa"/>
            </w:tcMar>
            <w:vAlign w:val="center"/>
          </w:tcPr>
          <w:p>
            <w:r>
              <w:t>Come organizziamo i fattori senza trasformarli in una lista?</w:t>
            </w:r>
          </w:p>
        </w:tc>
        <w:tc>
          <w:tcPr>
            <w:tcW w:type="dxa" w:w="2556"/>
            <w:tcMar>
              <w:top w:w="90" w:type="dxa"/>
              <w:start w:w="120" w:type="dxa"/>
              <w:bottom w:w="90" w:type="dxa"/>
              <w:end w:w="120" w:type="dxa"/>
            </w:tcMar>
            <w:vAlign w:val="center"/>
          </w:tcPr>
          <w:p>
            <w:r>
              <w:t>Dalla descrizione alla grammatica MORPHEUS.</w:t>
            </w:r>
          </w:p>
        </w:tc>
      </w:tr>
      <w:tr>
        <w:trPr>
          <w:cantSplit/>
        </w:trPr>
        <w:tc>
          <w:tcPr>
            <w:tcW w:type="dxa" w:w="2556"/>
            <w:tcMar>
              <w:top w:w="90" w:type="dxa"/>
              <w:start w:w="120" w:type="dxa"/>
              <w:bottom w:w="90" w:type="dxa"/>
              <w:end w:w="120" w:type="dxa"/>
            </w:tcMar>
            <w:vAlign w:val="center"/>
          </w:tcPr>
          <w:p>
            <w:r>
              <w:rPr>
                <w:b/>
              </w:rPr>
              <w:t>HUMAN PROCESSES</w:t>
            </w:r>
          </w:p>
        </w:tc>
        <w:tc>
          <w:tcPr>
            <w:tcW w:type="dxa" w:w="2556"/>
            <w:tcMar>
              <w:top w:w="90" w:type="dxa"/>
              <w:start w:w="120" w:type="dxa"/>
              <w:bottom w:w="90" w:type="dxa"/>
              <w:end w:w="120" w:type="dxa"/>
            </w:tcMar>
            <w:vAlign w:val="center"/>
          </w:tcPr>
          <w:p>
            <w:r>
              <w:t>M3-M4</w:t>
            </w:r>
          </w:p>
        </w:tc>
        <w:tc>
          <w:tcPr>
            <w:tcW w:type="dxa" w:w="2556"/>
            <w:tcMar>
              <w:top w:w="90" w:type="dxa"/>
              <w:start w:w="120" w:type="dxa"/>
              <w:bottom w:w="90" w:type="dxa"/>
              <w:end w:w="120" w:type="dxa"/>
            </w:tcMar>
            <w:vAlign w:val="center"/>
          </w:tcPr>
          <w:p>
            <w:r>
              <w:t>Quali processi rendono plausibile una scelta in condizioni reali?</w:t>
            </w:r>
          </w:p>
        </w:tc>
        <w:tc>
          <w:tcPr>
            <w:tcW w:type="dxa" w:w="2556"/>
            <w:tcMar>
              <w:top w:w="90" w:type="dxa"/>
              <w:start w:w="120" w:type="dxa"/>
              <w:bottom w:w="90" w:type="dxa"/>
              <w:end w:w="120" w:type="dxa"/>
            </w:tcMar>
            <w:vAlign w:val="center"/>
          </w:tcPr>
          <w:p>
            <w:r>
              <w:t>Cognition → affect → behavior → social/organizational context.</w:t>
            </w:r>
          </w:p>
        </w:tc>
      </w:tr>
      <w:tr>
        <w:trPr>
          <w:cantSplit/>
        </w:trPr>
        <w:tc>
          <w:tcPr>
            <w:tcW w:type="dxa" w:w="2556"/>
            <w:tcMar>
              <w:top w:w="90" w:type="dxa"/>
              <w:start w:w="120" w:type="dxa"/>
              <w:bottom w:w="90" w:type="dxa"/>
              <w:end w:w="120" w:type="dxa"/>
            </w:tcMar>
            <w:vAlign w:val="center"/>
          </w:tcPr>
          <w:p>
            <w:r>
              <w:rPr>
                <w:b/>
              </w:rPr>
              <w:t>ADVERSARY</w:t>
            </w:r>
          </w:p>
        </w:tc>
        <w:tc>
          <w:tcPr>
            <w:tcW w:type="dxa" w:w="2556"/>
            <w:tcMar>
              <w:top w:w="90" w:type="dxa"/>
              <w:start w:w="120" w:type="dxa"/>
              <w:bottom w:w="90" w:type="dxa"/>
              <w:end w:w="120" w:type="dxa"/>
            </w:tcMar>
            <w:vAlign w:val="center"/>
          </w:tcPr>
          <w:p>
            <w:r>
              <w:t>M5</w:t>
            </w:r>
          </w:p>
        </w:tc>
        <w:tc>
          <w:tcPr>
            <w:tcW w:type="dxa" w:w="2556"/>
            <w:tcMar>
              <w:top w:w="90" w:type="dxa"/>
              <w:start w:w="120" w:type="dxa"/>
              <w:bottom w:w="90" w:type="dxa"/>
              <w:end w:w="120" w:type="dxa"/>
            </w:tcMar>
            <w:vAlign w:val="center"/>
          </w:tcPr>
          <w:p>
            <w:r>
              <w:t>Che cosa introduce l'attaccante e come interagisce con il lato umano?</w:t>
            </w:r>
          </w:p>
        </w:tc>
        <w:tc>
          <w:tcPr>
            <w:tcW w:type="dxa" w:w="2556"/>
            <w:tcMar>
              <w:top w:w="90" w:type="dxa"/>
              <w:start w:w="120" w:type="dxa"/>
              <w:bottom w:w="90" w:type="dxa"/>
              <w:end w:w="120" w:type="dxa"/>
            </w:tcMar>
            <w:vAlign w:val="center"/>
          </w:tcPr>
          <w:p>
            <w:r>
              <w:t>Separare Trigger da Human Factor e ricostruire susceptibility.</w:t>
            </w:r>
          </w:p>
        </w:tc>
      </w:tr>
      <w:tr>
        <w:trPr>
          <w:cantSplit/>
        </w:trPr>
        <w:tc>
          <w:tcPr>
            <w:tcW w:type="dxa" w:w="2556"/>
            <w:tcMar>
              <w:top w:w="90" w:type="dxa"/>
              <w:start w:w="120" w:type="dxa"/>
              <w:bottom w:w="90" w:type="dxa"/>
              <w:end w:w="120" w:type="dxa"/>
            </w:tcMar>
            <w:vAlign w:val="center"/>
          </w:tcPr>
          <w:p>
            <w:r>
              <w:rPr>
                <w:b/>
              </w:rPr>
              <w:t>DESIGN</w:t>
            </w:r>
          </w:p>
        </w:tc>
        <w:tc>
          <w:tcPr>
            <w:tcW w:type="dxa" w:w="2556"/>
            <w:tcMar>
              <w:top w:w="90" w:type="dxa"/>
              <w:start w:w="120" w:type="dxa"/>
              <w:bottom w:w="90" w:type="dxa"/>
              <w:end w:w="120" w:type="dxa"/>
            </w:tcMar>
            <w:vAlign w:val="center"/>
          </w:tcPr>
          <w:p>
            <w:r>
              <w:t>M6</w:t>
            </w:r>
          </w:p>
        </w:tc>
        <w:tc>
          <w:tcPr>
            <w:tcW w:type="dxa" w:w="2556"/>
            <w:tcMar>
              <w:top w:w="90" w:type="dxa"/>
              <w:start w:w="120" w:type="dxa"/>
              <w:bottom w:w="90" w:type="dxa"/>
              <w:end w:w="120" w:type="dxa"/>
            </w:tcMar>
            <w:vAlign w:val="center"/>
          </w:tcPr>
          <w:p>
            <w:r>
              <w:t>Che cosa cambiamo nel sistema dopo una diagnosi?</w:t>
            </w:r>
          </w:p>
        </w:tc>
        <w:tc>
          <w:tcPr>
            <w:tcW w:type="dxa" w:w="2556"/>
            <w:tcMar>
              <w:top w:w="90" w:type="dxa"/>
              <w:start w:w="120" w:type="dxa"/>
              <w:bottom w:w="90" w:type="dxa"/>
              <w:end w:w="120" w:type="dxa"/>
            </w:tcMar>
            <w:vAlign w:val="center"/>
          </w:tcPr>
          <w:p>
            <w:r>
              <w:t>Diagnosis → requirement → intervention → evaluation.</w:t>
            </w:r>
          </w:p>
        </w:tc>
      </w:tr>
      <w:tr>
        <w:trPr>
          <w:cantSplit/>
        </w:trPr>
        <w:tc>
          <w:tcPr>
            <w:tcW w:type="dxa" w:w="2556"/>
            <w:tcMar>
              <w:top w:w="90" w:type="dxa"/>
              <w:start w:w="120" w:type="dxa"/>
              <w:bottom w:w="90" w:type="dxa"/>
              <w:end w:w="120" w:type="dxa"/>
            </w:tcMar>
            <w:vAlign w:val="center"/>
          </w:tcPr>
          <w:p>
            <w:r>
              <w:rPr>
                <w:b/>
              </w:rPr>
              <w:t>EVIDENCE</w:t>
            </w:r>
          </w:p>
        </w:tc>
        <w:tc>
          <w:tcPr>
            <w:tcW w:type="dxa" w:w="2556"/>
            <w:tcMar>
              <w:top w:w="90" w:type="dxa"/>
              <w:start w:w="120" w:type="dxa"/>
              <w:bottom w:w="90" w:type="dxa"/>
              <w:end w:w="120" w:type="dxa"/>
            </w:tcMar>
            <w:vAlign w:val="center"/>
          </w:tcPr>
          <w:p>
            <w:r>
              <w:t>M7</w:t>
            </w:r>
          </w:p>
        </w:tc>
        <w:tc>
          <w:tcPr>
            <w:tcW w:type="dxa" w:w="2556"/>
            <w:tcMar>
              <w:top w:w="90" w:type="dxa"/>
              <w:start w:w="120" w:type="dxa"/>
              <w:bottom w:w="90" w:type="dxa"/>
              <w:end w:w="120" w:type="dxa"/>
            </w:tcMar>
            <w:vAlign w:val="center"/>
          </w:tcPr>
          <w:p>
            <w:r>
              <w:t>Come sappiamo se la nostra spiegazione e supportata?</w:t>
            </w:r>
          </w:p>
        </w:tc>
        <w:tc>
          <w:tcPr>
            <w:tcW w:type="dxa" w:w="2556"/>
            <w:tcMar>
              <w:top w:w="90" w:type="dxa"/>
              <w:start w:w="120" w:type="dxa"/>
              <w:bottom w:w="90" w:type="dxa"/>
              <w:end w:w="120" w:type="dxa"/>
            </w:tcMar>
            <w:vAlign w:val="center"/>
          </w:tcPr>
          <w:p>
            <w:r>
              <w:t>Construct → measure → observation → legitimate inference.</w:t>
            </w:r>
          </w:p>
        </w:tc>
      </w:tr>
      <w:tr>
        <w:trPr>
          <w:cantSplit/>
        </w:trPr>
        <w:tc>
          <w:tcPr>
            <w:tcW w:type="dxa" w:w="2556"/>
            <w:tcMar>
              <w:top w:w="90" w:type="dxa"/>
              <w:start w:w="120" w:type="dxa"/>
              <w:bottom w:w="90" w:type="dxa"/>
              <w:end w:w="120" w:type="dxa"/>
            </w:tcMar>
            <w:vAlign w:val="center"/>
          </w:tcPr>
          <w:p>
            <w:r>
              <w:rPr>
                <w:b/>
              </w:rPr>
              <w:t>INTEGRATION</w:t>
            </w:r>
          </w:p>
        </w:tc>
        <w:tc>
          <w:tcPr>
            <w:tcW w:type="dxa" w:w="2556"/>
            <w:tcMar>
              <w:top w:w="90" w:type="dxa"/>
              <w:start w:w="120" w:type="dxa"/>
              <w:bottom w:w="90" w:type="dxa"/>
              <w:end w:w="120" w:type="dxa"/>
            </w:tcMar>
            <w:vAlign w:val="center"/>
          </w:tcPr>
          <w:p>
            <w:r>
              <w:t>M8</w:t>
            </w:r>
          </w:p>
        </w:tc>
        <w:tc>
          <w:tcPr>
            <w:tcW w:type="dxa" w:w="2556"/>
            <w:tcMar>
              <w:top w:w="90" w:type="dxa"/>
              <w:start w:w="120" w:type="dxa"/>
              <w:bottom w:w="90" w:type="dxa"/>
              <w:end w:w="120" w:type="dxa"/>
            </w:tcMar>
            <w:vAlign w:val="center"/>
          </w:tcPr>
          <w:p>
            <w:r>
              <w:t>Come ragioniamo end-to-end su un caso?</w:t>
            </w:r>
          </w:p>
        </w:tc>
        <w:tc>
          <w:tcPr>
            <w:tcW w:type="dxa" w:w="2556"/>
            <w:tcMar>
              <w:top w:w="90" w:type="dxa"/>
              <w:start w:w="120" w:type="dxa"/>
              <w:bottom w:w="90" w:type="dxa"/>
              <w:end w:w="120" w:type="dxa"/>
            </w:tcMar>
            <w:vAlign w:val="center"/>
          </w:tcPr>
          <w:p>
            <w:r>
              <w:t>Competing hypotheses → discriminating evidence → mitigation → evaluation.</w:t>
            </w:r>
          </w:p>
        </w:tc>
      </w:tr>
    </w:tbl>
    <w:p>
      <w:pPr>
        <w:pStyle w:val="Heading1"/>
      </w:pPr>
      <w:r>
        <w:t>2. Il filo rosso da ripetere durante tutto il corso</w:t>
      </w:r>
    </w:p>
    <w:p>
      <w:pPr>
        <w:spacing w:after="60"/>
        <w:ind w:left="259" w:hanging="259"/>
      </w:pPr>
      <w:r>
        <w:rPr>
          <w:b/>
        </w:rPr>
        <w:t xml:space="preserve">1. </w:t>
      </w:r>
      <w:r>
        <w:t>Parti dai fatti: che cosa e successo davvero? Non iniziare da “human error”.</w:t>
      </w:r>
    </w:p>
    <w:p>
      <w:pPr>
        <w:spacing w:after="60"/>
        <w:ind w:left="259" w:hanging="259"/>
      </w:pPr>
      <w:r>
        <w:rPr>
          <w:b/>
        </w:rPr>
        <w:t xml:space="preserve">2. </w:t>
      </w:r>
      <w:r>
        <w:t>Separa il Context dalle categorie formali MORPHEUS.</w:t>
      </w:r>
    </w:p>
    <w:p>
      <w:pPr>
        <w:spacing w:after="60"/>
        <w:ind w:left="259" w:hanging="259"/>
      </w:pPr>
      <w:r>
        <w:rPr>
          <w:b/>
        </w:rPr>
        <w:t xml:space="preserve">3. </w:t>
      </w:r>
      <w:r>
        <w:t>Se esiste un attaccante, separa cio che introduce (Adversarial Trigger) da cio che appartiene al lato umano.</w:t>
      </w:r>
    </w:p>
    <w:p>
      <w:pPr>
        <w:spacing w:after="60"/>
        <w:ind w:left="259" w:hanging="259"/>
      </w:pPr>
      <w:r>
        <w:rPr>
          <w:b/>
        </w:rPr>
        <w:t xml:space="preserve">4. </w:t>
      </w:r>
      <w:r>
        <w:t>Classifica pochi formal Human Factors plausibili, senza trasformare ogni parola del caso in un fattore.</w:t>
      </w:r>
    </w:p>
    <w:p>
      <w:pPr>
        <w:spacing w:after="60"/>
        <w:ind w:left="259" w:hanging="259"/>
      </w:pPr>
      <w:r>
        <w:rPr>
          <w:b/>
        </w:rPr>
        <w:t xml:space="preserve">5. </w:t>
      </w:r>
      <w:r>
        <w:t>Distingui Observed Action da Behavioral Direct Factor e Outcome dalla semplice azione finale.</w:t>
      </w:r>
    </w:p>
    <w:p>
      <w:pPr>
        <w:spacing w:after="60"/>
        <w:ind w:left="259" w:hanging="259"/>
      </w:pPr>
      <w:r>
        <w:rPr>
          <w:b/>
        </w:rPr>
        <w:t xml:space="preserve">6. </w:t>
      </w:r>
      <w:r>
        <w:t>Mantieni competing hypotheses e chiedi quale evidence potrebbe discriminarle.</w:t>
      </w:r>
    </w:p>
    <w:p>
      <w:pPr>
        <w:spacing w:after="60"/>
        <w:ind w:left="259" w:hanging="259"/>
      </w:pPr>
      <w:r>
        <w:rPr>
          <w:b/>
        </w:rPr>
        <w:t xml:space="preserve">7. </w:t>
      </w:r>
      <w:r>
        <w:t>Solo dopo la diagnosi traduci il problema in requirement e candidate mitigation.</w:t>
      </w:r>
    </w:p>
    <w:p>
      <w:pPr>
        <w:spacing w:after="60"/>
        <w:ind w:left="259" w:hanging="259"/>
      </w:pPr>
      <w:r>
        <w:rPr>
          <w:b/>
        </w:rPr>
        <w:t xml:space="preserve">8. </w:t>
      </w:r>
      <w:r>
        <w:t>Chiudi sempre con evaluation, side effect, residual risk e possibilita che l'intervento cambi il sistema.</w:t>
      </w:r>
    </w:p>
    <w:p>
      <w:pPr>
        <w:pStyle w:val="Heading1"/>
      </w:pPr>
      <w:r>
        <w:t>3. Mappa dei moduli e delle 24 lezioni</w:t>
      </w:r>
    </w:p>
    <w:p>
      <w:pPr>
        <w:pStyle w:val="Heading2"/>
      </w:pPr>
      <w:r>
        <w:t>M1 — Cybersecurity as a Human Problem</w:t>
      </w:r>
    </w:p>
    <w:p>
      <w:r>
        <w:rPr>
          <w:b/>
          <w:color w:val="00A6A6"/>
        </w:rPr>
        <w:t xml:space="preserve">Domanda guida: </w:t>
      </w:r>
      <w:r>
        <w:t>Perche un controllo tecnicamente corretto puo fallire nell'uso reale?</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sz w:val="17"/>
              </w:rPr>
              <w:t>Lezione</w:t>
            </w:r>
          </w:p>
        </w:tc>
        <w:tc>
          <w:tcPr>
            <w:tcW w:type="dxa" w:w="3408"/>
            <w:shd w:fill="0B1F33"/>
            <w:tcMar>
              <w:top w:w="100" w:type="dxa"/>
              <w:start w:w="120" w:type="dxa"/>
              <w:bottom w:w="100" w:type="dxa"/>
              <w:end w:w="120" w:type="dxa"/>
            </w:tcMar>
          </w:tcPr>
          <w:p>
            <w:pPr>
              <w:jc w:val="center"/>
            </w:pPr>
            <w:r>
              <w:rPr>
                <w:b/>
                <w:color w:val="FFFFFF"/>
                <w:sz w:val="17"/>
              </w:rPr>
              <w:t>Titolo operativo</w:t>
            </w:r>
          </w:p>
        </w:tc>
        <w:tc>
          <w:tcPr>
            <w:tcW w:type="dxa" w:w="3408"/>
            <w:shd w:fill="0B1F33"/>
            <w:tcMar>
              <w:top w:w="100" w:type="dxa"/>
              <w:start w:w="120" w:type="dxa"/>
              <w:bottom w:w="100" w:type="dxa"/>
              <w:end w:w="120" w:type="dxa"/>
            </w:tcMar>
          </w:tcPr>
          <w:p>
            <w:pPr>
              <w:jc w:val="center"/>
            </w:pPr>
            <w:r>
              <w:rPr>
                <w:b/>
                <w:color w:val="FFFFFF"/>
                <w:sz w:val="17"/>
              </w:rPr>
              <w:t>Topic da tenere a mente</w:t>
            </w:r>
          </w:p>
        </w:tc>
      </w:tr>
      <w:tr>
        <w:trPr>
          <w:cantSplit/>
        </w:trPr>
        <w:tc>
          <w:tcPr>
            <w:tcW w:type="dxa" w:w="3408"/>
            <w:tcMar>
              <w:top w:w="85" w:type="dxa"/>
              <w:start w:w="120" w:type="dxa"/>
              <w:bottom w:w="85" w:type="dxa"/>
              <w:end w:w="120" w:type="dxa"/>
            </w:tcMar>
            <w:vAlign w:val="center"/>
          </w:tcPr>
          <w:p>
            <w:pPr>
              <w:jc w:val="center"/>
            </w:pPr>
            <w:r>
              <w:rPr>
                <w:b/>
                <w:color w:val="00A6A6"/>
              </w:rPr>
              <w:t>L1</w:t>
            </w:r>
          </w:p>
        </w:tc>
        <w:tc>
          <w:tcPr>
            <w:tcW w:type="dxa" w:w="3408"/>
            <w:tcMar>
              <w:top w:w="85" w:type="dxa"/>
              <w:start w:w="120" w:type="dxa"/>
              <w:bottom w:w="85" w:type="dxa"/>
              <w:end w:w="120" w:type="dxa"/>
            </w:tcMar>
            <w:vAlign w:val="center"/>
          </w:tcPr>
          <w:p>
            <w:r>
              <w:rPr>
                <w:b/>
                <w:color w:val="0B1F33"/>
              </w:rPr>
              <w:t>Security is a sociotechnical property</w:t>
            </w:r>
          </w:p>
        </w:tc>
        <w:tc>
          <w:tcPr>
            <w:tcW w:type="dxa" w:w="3408"/>
            <w:tcMar>
              <w:top w:w="85" w:type="dxa"/>
              <w:start w:w="120" w:type="dxa"/>
              <w:bottom w:w="85" w:type="dxa"/>
              <w:end w:w="120" w:type="dxa"/>
            </w:tcMar>
            <w:vAlign w:val="center"/>
          </w:tcPr>
          <w:p>
            <w:r>
              <w:t>MFA fatigue; facts vs inference; persona-tecnologia-task-organizzazione-avversario; Human Factor ≠ Human Fault.</w:t>
            </w:r>
          </w:p>
        </w:tc>
      </w:tr>
      <w:tr>
        <w:trPr>
          <w:cantSplit/>
        </w:trPr>
        <w:tc>
          <w:tcPr>
            <w:tcW w:type="dxa" w:w="3408"/>
            <w:tcMar>
              <w:top w:w="85" w:type="dxa"/>
              <w:start w:w="120" w:type="dxa"/>
              <w:bottom w:w="85" w:type="dxa"/>
              <w:end w:w="120" w:type="dxa"/>
            </w:tcMar>
            <w:vAlign w:val="center"/>
          </w:tcPr>
          <w:p>
            <w:pPr>
              <w:jc w:val="center"/>
            </w:pPr>
            <w:r>
              <w:rPr>
                <w:b/>
                <w:color w:val="00A6A6"/>
              </w:rPr>
              <w:t>L2</w:t>
            </w:r>
          </w:p>
        </w:tc>
        <w:tc>
          <w:tcPr>
            <w:tcW w:type="dxa" w:w="3408"/>
            <w:tcMar>
              <w:top w:w="85" w:type="dxa"/>
              <w:start w:w="120" w:type="dxa"/>
              <w:bottom w:w="85" w:type="dxa"/>
              <w:end w:w="120" w:type="dxa"/>
            </w:tcMar>
            <w:vAlign w:val="center"/>
          </w:tcPr>
          <w:p>
            <w:r>
              <w:rPr>
                <w:b/>
                <w:color w:val="0B1F33"/>
              </w:rPr>
              <w:t>Why Johnny Can’t Encrypt</w:t>
            </w:r>
          </w:p>
        </w:tc>
        <w:tc>
          <w:tcPr>
            <w:tcW w:type="dxa" w:w="3408"/>
            <w:tcMar>
              <w:top w:w="85" w:type="dxa"/>
              <w:start w:w="120" w:type="dxa"/>
              <w:bottom w:w="85" w:type="dxa"/>
              <w:end w:w="120" w:type="dxa"/>
            </w:tcMar>
            <w:vAlign w:val="center"/>
          </w:tcPr>
          <w:p>
            <w:r>
              <w:t>Usable security; security task vs primary task; abstraction, feedback, recovery, weak link; PGP come caso fondativo.</w:t>
            </w:r>
          </w:p>
        </w:tc>
      </w:tr>
      <w:tr>
        <w:trPr>
          <w:cantSplit/>
        </w:trPr>
        <w:tc>
          <w:tcPr>
            <w:tcW w:type="dxa" w:w="3408"/>
            <w:tcMar>
              <w:top w:w="85" w:type="dxa"/>
              <w:start w:w="120" w:type="dxa"/>
              <w:bottom w:w="85" w:type="dxa"/>
              <w:end w:w="120" w:type="dxa"/>
            </w:tcMar>
            <w:vAlign w:val="center"/>
          </w:tcPr>
          <w:p>
            <w:pPr>
              <w:jc w:val="center"/>
            </w:pPr>
            <w:r>
              <w:rPr>
                <w:b/>
                <w:color w:val="00A6A6"/>
              </w:rPr>
              <w:t>L3</w:t>
            </w:r>
          </w:p>
        </w:tc>
        <w:tc>
          <w:tcPr>
            <w:tcW w:type="dxa" w:w="3408"/>
            <w:tcMar>
              <w:top w:w="85" w:type="dxa"/>
              <w:start w:w="120" w:type="dxa"/>
              <w:bottom w:w="85" w:type="dxa"/>
              <w:end w:w="120" w:type="dxa"/>
            </w:tcMar>
            <w:vAlign w:val="center"/>
          </w:tcPr>
          <w:p>
            <w:r>
              <w:rPr>
                <w:b/>
                <w:color w:val="0B1F33"/>
              </w:rPr>
              <w:t>Security indicators and warnings</w:t>
            </w:r>
          </w:p>
        </w:tc>
        <w:tc>
          <w:tcPr>
            <w:tcW w:type="dxa" w:w="3408"/>
            <w:tcMar>
              <w:top w:w="85" w:type="dxa"/>
              <w:start w:w="120" w:type="dxa"/>
              <w:bottom w:w="85" w:type="dxa"/>
              <w:end w:w="120" w:type="dxa"/>
            </w:tcMar>
            <w:vAlign w:val="center"/>
          </w:tcPr>
          <w:p>
            <w:r>
              <w:t>Schechter/security indicators; noticing, interpretation, habituation; tecnicamente corretto non implica decisionally effective.</w:t>
            </w:r>
          </w:p>
        </w:tc>
      </w:tr>
    </w:tbl>
    <w:p>
      <w:r>
        <w:rPr>
          <w:b/>
        </w:rPr>
        <w:t xml:space="preserve">Casi/ancore: </w:t>
      </w:r>
      <w:r>
        <w:t>MFA fatigue; Whitten &amp; Tygar / PGP; security indicators e warning habituation.</w:t>
      </w:r>
    </w:p>
    <w:p>
      <w:r>
        <w:rPr>
          <w:b/>
          <w:color w:val="D5A62E"/>
        </w:rPr>
        <w:t xml:space="preserve">Transizione narrativa: </w:t>
      </w:r>
      <w:r>
        <w:t>Abbiamo visto che “human error” non spiega. M2 introduce una grammatica sistematica per classificare e collegare i fattori.</w:t>
      </w:r>
    </w:p>
    <w:p>
      <w:pPr>
        <w:pStyle w:val="Heading2"/>
      </w:pPr>
      <w:r>
        <w:t>M2 — MORPHEUS: teoria sistemica e Human-Factor Map</w:t>
      </w:r>
    </w:p>
    <w:p>
      <w:r>
        <w:rPr>
          <w:b/>
          <w:color w:val="00A6A6"/>
        </w:rPr>
        <w:t xml:space="preserve">Domanda guida: </w:t>
      </w:r>
      <w:r>
        <w:t>Come passiamo da una storia plausibile a una diagnosi strutturata?</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sz w:val="17"/>
              </w:rPr>
              <w:t>Lezione</w:t>
            </w:r>
          </w:p>
        </w:tc>
        <w:tc>
          <w:tcPr>
            <w:tcW w:type="dxa" w:w="3408"/>
            <w:shd w:fill="0B1F33"/>
            <w:tcMar>
              <w:top w:w="100" w:type="dxa"/>
              <w:start w:w="120" w:type="dxa"/>
              <w:bottom w:w="100" w:type="dxa"/>
              <w:end w:w="120" w:type="dxa"/>
            </w:tcMar>
          </w:tcPr>
          <w:p>
            <w:pPr>
              <w:jc w:val="center"/>
            </w:pPr>
            <w:r>
              <w:rPr>
                <w:b/>
                <w:color w:val="FFFFFF"/>
                <w:sz w:val="17"/>
              </w:rPr>
              <w:t>Titolo operativo</w:t>
            </w:r>
          </w:p>
        </w:tc>
        <w:tc>
          <w:tcPr>
            <w:tcW w:type="dxa" w:w="3408"/>
            <w:shd w:fill="0B1F33"/>
            <w:tcMar>
              <w:top w:w="100" w:type="dxa"/>
              <w:start w:w="120" w:type="dxa"/>
              <w:bottom w:w="100" w:type="dxa"/>
              <w:end w:w="120" w:type="dxa"/>
            </w:tcMar>
          </w:tcPr>
          <w:p>
            <w:pPr>
              <w:jc w:val="center"/>
            </w:pPr>
            <w:r>
              <w:rPr>
                <w:b/>
                <w:color w:val="FFFFFF"/>
                <w:sz w:val="17"/>
              </w:rPr>
              <w:t>Topic da tenere a mente</w:t>
            </w:r>
          </w:p>
        </w:tc>
      </w:tr>
      <w:tr>
        <w:trPr>
          <w:cantSplit/>
        </w:trPr>
        <w:tc>
          <w:tcPr>
            <w:tcW w:type="dxa" w:w="3408"/>
            <w:tcMar>
              <w:top w:w="85" w:type="dxa"/>
              <w:start w:w="120" w:type="dxa"/>
              <w:bottom w:w="85" w:type="dxa"/>
              <w:end w:w="120" w:type="dxa"/>
            </w:tcMar>
            <w:vAlign w:val="center"/>
          </w:tcPr>
          <w:p>
            <w:pPr>
              <w:jc w:val="center"/>
            </w:pPr>
            <w:r>
              <w:rPr>
                <w:b/>
                <w:color w:val="00A6A6"/>
              </w:rPr>
              <w:t>L4</w:t>
            </w:r>
          </w:p>
        </w:tc>
        <w:tc>
          <w:tcPr>
            <w:tcW w:type="dxa" w:w="3408"/>
            <w:tcMar>
              <w:top w:w="85" w:type="dxa"/>
              <w:start w:w="120" w:type="dxa"/>
              <w:bottom w:w="85" w:type="dxa"/>
              <w:end w:w="120" w:type="dxa"/>
            </w:tcMar>
            <w:vAlign w:val="center"/>
          </w:tcPr>
          <w:p>
            <w:r>
              <w:rPr>
                <w:b/>
                <w:color w:val="0B1F33"/>
              </w:rPr>
              <w:t>From human error to causal grammar</w:t>
            </w:r>
          </w:p>
        </w:tc>
        <w:tc>
          <w:tcPr>
            <w:tcW w:type="dxa" w:w="3408"/>
            <w:tcMar>
              <w:top w:w="85" w:type="dxa"/>
              <w:start w:w="120" w:type="dxa"/>
              <w:bottom w:w="85" w:type="dxa"/>
              <w:end w:w="120" w:type="dxa"/>
            </w:tcMar>
            <w:vAlign w:val="center"/>
          </w:tcPr>
          <w:p>
            <w:r>
              <w:t>Attribution Theory; CAB; distal Modulators vs proximal Direct Factors; Context/Observed Action/Trigger fuori dalla formal architecture.</w:t>
            </w:r>
          </w:p>
        </w:tc>
      </w:tr>
      <w:tr>
        <w:trPr>
          <w:cantSplit/>
        </w:trPr>
        <w:tc>
          <w:tcPr>
            <w:tcW w:type="dxa" w:w="3408"/>
            <w:tcMar>
              <w:top w:w="85" w:type="dxa"/>
              <w:start w:w="120" w:type="dxa"/>
              <w:bottom w:w="85" w:type="dxa"/>
              <w:end w:w="120" w:type="dxa"/>
            </w:tcMar>
            <w:vAlign w:val="center"/>
          </w:tcPr>
          <w:p>
            <w:pPr>
              <w:jc w:val="center"/>
            </w:pPr>
            <w:r>
              <w:rPr>
                <w:b/>
                <w:color w:val="00A6A6"/>
              </w:rPr>
              <w:t>L5</w:t>
            </w:r>
          </w:p>
        </w:tc>
        <w:tc>
          <w:tcPr>
            <w:tcW w:type="dxa" w:w="3408"/>
            <w:tcMar>
              <w:top w:w="85" w:type="dxa"/>
              <w:start w:w="120" w:type="dxa"/>
              <w:bottom w:w="85" w:type="dxa"/>
              <w:end w:w="120" w:type="dxa"/>
            </w:tcMar>
            <w:vAlign w:val="center"/>
          </w:tcPr>
          <w:p>
            <w:r>
              <w:rPr>
                <w:b/>
                <w:color w:val="0B1F33"/>
              </w:rPr>
              <w:t>The 50 Human Factors</w:t>
            </w:r>
          </w:p>
        </w:tc>
        <w:tc>
          <w:tcPr>
            <w:tcW w:type="dxa" w:w="3408"/>
            <w:tcMar>
              <w:top w:w="85" w:type="dxa"/>
              <w:start w:w="120" w:type="dxa"/>
              <w:bottom w:w="85" w:type="dxa"/>
              <w:end w:w="120" w:type="dxa"/>
            </w:tcMar>
            <w:vAlign w:val="center"/>
          </w:tcPr>
          <w:p>
            <w:r>
              <w:t>Human-Factor Map; cluster funzionali; confini tra categorie; fattori non come vulnerabilita identitarie.</w:t>
            </w:r>
          </w:p>
        </w:tc>
      </w:tr>
      <w:tr>
        <w:trPr>
          <w:cantSplit/>
        </w:trPr>
        <w:tc>
          <w:tcPr>
            <w:tcW w:type="dxa" w:w="3408"/>
            <w:tcMar>
              <w:top w:w="85" w:type="dxa"/>
              <w:start w:w="120" w:type="dxa"/>
              <w:bottom w:w="85" w:type="dxa"/>
              <w:end w:w="120" w:type="dxa"/>
            </w:tcMar>
            <w:vAlign w:val="center"/>
          </w:tcPr>
          <w:p>
            <w:pPr>
              <w:jc w:val="center"/>
            </w:pPr>
            <w:r>
              <w:rPr>
                <w:b/>
                <w:color w:val="00A6A6"/>
              </w:rPr>
              <w:t>L6</w:t>
            </w:r>
          </w:p>
        </w:tc>
        <w:tc>
          <w:tcPr>
            <w:tcW w:type="dxa" w:w="3408"/>
            <w:tcMar>
              <w:top w:w="85" w:type="dxa"/>
              <w:start w:w="120" w:type="dxa"/>
              <w:bottom w:w="85" w:type="dxa"/>
              <w:end w:w="120" w:type="dxa"/>
            </w:tcMar>
            <w:vAlign w:val="center"/>
          </w:tcPr>
          <w:p>
            <w:r>
              <w:rPr>
                <w:b/>
                <w:color w:val="0B1F33"/>
              </w:rPr>
              <w:t>From factors to probabilistic pathways</w:t>
            </w:r>
          </w:p>
        </w:tc>
        <w:tc>
          <w:tcPr>
            <w:tcW w:type="dxa" w:w="3408"/>
            <w:tcMar>
              <w:top w:w="85" w:type="dxa"/>
              <w:start w:w="120" w:type="dxa"/>
              <w:bottom w:w="85" w:type="dxa"/>
              <w:end w:w="120" w:type="dxa"/>
            </w:tcMar>
            <w:vAlign w:val="center"/>
          </w:tcPr>
          <w:p>
            <w:r>
              <w:t>Interazioni, feedback, pathways; competing explanations; linguaggio probabilistico; evidence che potrebbe confermare o indebolire un pathway.</w:t>
            </w:r>
          </w:p>
        </w:tc>
      </w:tr>
    </w:tbl>
    <w:p>
      <w:r>
        <w:rPr>
          <w:b/>
        </w:rPr>
        <w:t xml:space="preserve">Casi/ancore: </w:t>
      </w:r>
      <w:r>
        <w:t>Misconfiguration, post-mortem, casi in cui stessa action ammette spiegazioni differenti.</w:t>
      </w:r>
    </w:p>
    <w:p>
      <w:r>
        <w:rPr>
          <w:b/>
          <w:color w:val="D5A62E"/>
        </w:rPr>
        <w:t xml:space="preserve">Transizione narrativa: </w:t>
      </w:r>
      <w:r>
        <w:t>Ora che abbiamo la grammatica, M3 e M4 entrano nei processi umani senza perdere la struttura sistemica.</w:t>
      </w:r>
    </w:p>
    <w:p>
      <w:pPr>
        <w:pStyle w:val="Heading2"/>
      </w:pPr>
      <w:r>
        <w:t>M3 — Cognition, Biases and Mental Models</w:t>
      </w:r>
    </w:p>
    <w:p>
      <w:r>
        <w:rPr>
          <w:b/>
          <w:color w:val="00A6A6"/>
        </w:rPr>
        <w:t xml:space="preserve">Domanda guida: </w:t>
      </w:r>
      <w:r>
        <w:t>Come percezione, attenzione, reasoning e rappresentazioni del sistema influenzano la security?</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sz w:val="17"/>
              </w:rPr>
              <w:t>Lezione</w:t>
            </w:r>
          </w:p>
        </w:tc>
        <w:tc>
          <w:tcPr>
            <w:tcW w:type="dxa" w:w="3408"/>
            <w:shd w:fill="0B1F33"/>
            <w:tcMar>
              <w:top w:w="100" w:type="dxa"/>
              <w:start w:w="120" w:type="dxa"/>
              <w:bottom w:w="100" w:type="dxa"/>
              <w:end w:w="120" w:type="dxa"/>
            </w:tcMar>
          </w:tcPr>
          <w:p>
            <w:pPr>
              <w:jc w:val="center"/>
            </w:pPr>
            <w:r>
              <w:rPr>
                <w:b/>
                <w:color w:val="FFFFFF"/>
                <w:sz w:val="17"/>
              </w:rPr>
              <w:t>Titolo operativo</w:t>
            </w:r>
          </w:p>
        </w:tc>
        <w:tc>
          <w:tcPr>
            <w:tcW w:type="dxa" w:w="3408"/>
            <w:shd w:fill="0B1F33"/>
            <w:tcMar>
              <w:top w:w="100" w:type="dxa"/>
              <w:start w:w="120" w:type="dxa"/>
              <w:bottom w:w="100" w:type="dxa"/>
              <w:end w:w="120" w:type="dxa"/>
            </w:tcMar>
          </w:tcPr>
          <w:p>
            <w:pPr>
              <w:jc w:val="center"/>
            </w:pPr>
            <w:r>
              <w:rPr>
                <w:b/>
                <w:color w:val="FFFFFF"/>
                <w:sz w:val="17"/>
              </w:rPr>
              <w:t>Topic da tenere a mente</w:t>
            </w:r>
          </w:p>
        </w:tc>
      </w:tr>
      <w:tr>
        <w:trPr>
          <w:cantSplit/>
        </w:trPr>
        <w:tc>
          <w:tcPr>
            <w:tcW w:type="dxa" w:w="3408"/>
            <w:tcMar>
              <w:top w:w="85" w:type="dxa"/>
              <w:start w:w="120" w:type="dxa"/>
              <w:bottom w:w="85" w:type="dxa"/>
              <w:end w:w="120" w:type="dxa"/>
            </w:tcMar>
            <w:vAlign w:val="center"/>
          </w:tcPr>
          <w:p>
            <w:pPr>
              <w:jc w:val="center"/>
            </w:pPr>
            <w:r>
              <w:rPr>
                <w:b/>
                <w:color w:val="00A6A6"/>
              </w:rPr>
              <w:t>L7</w:t>
            </w:r>
          </w:p>
        </w:tc>
        <w:tc>
          <w:tcPr>
            <w:tcW w:type="dxa" w:w="3408"/>
            <w:tcMar>
              <w:top w:w="85" w:type="dxa"/>
              <w:start w:w="120" w:type="dxa"/>
              <w:bottom w:w="85" w:type="dxa"/>
              <w:end w:w="120" w:type="dxa"/>
            </w:tcMar>
            <w:vAlign w:val="center"/>
          </w:tcPr>
          <w:p>
            <w:r>
              <w:rPr>
                <w:b/>
                <w:color w:val="0B1F33"/>
              </w:rPr>
              <w:t>Cognitive resources under pressure</w:t>
            </w:r>
          </w:p>
        </w:tc>
        <w:tc>
          <w:tcPr>
            <w:tcW w:type="dxa" w:w="3408"/>
            <w:tcMar>
              <w:top w:w="85" w:type="dxa"/>
              <w:start w:w="120" w:type="dxa"/>
              <w:bottom w:w="85" w:type="dxa"/>
              <w:end w:w="120" w:type="dxa"/>
            </w:tcMar>
            <w:vAlign w:val="center"/>
          </w:tcPr>
          <w:p>
            <w:r>
              <w:t>Cognitive Fatigue vs Distraction; Vigilance; Decision Fatigue; Lack of Knowledge vs Lack of Awareness; Uncertainty vs Misperception.</w:t>
            </w:r>
          </w:p>
        </w:tc>
      </w:tr>
      <w:tr>
        <w:trPr>
          <w:cantSplit/>
        </w:trPr>
        <w:tc>
          <w:tcPr>
            <w:tcW w:type="dxa" w:w="3408"/>
            <w:tcMar>
              <w:top w:w="85" w:type="dxa"/>
              <w:start w:w="120" w:type="dxa"/>
              <w:bottom w:w="85" w:type="dxa"/>
              <w:end w:w="120" w:type="dxa"/>
            </w:tcMar>
            <w:vAlign w:val="center"/>
          </w:tcPr>
          <w:p>
            <w:pPr>
              <w:jc w:val="center"/>
            </w:pPr>
            <w:r>
              <w:rPr>
                <w:b/>
                <w:color w:val="00A6A6"/>
              </w:rPr>
              <w:t>L8</w:t>
            </w:r>
          </w:p>
        </w:tc>
        <w:tc>
          <w:tcPr>
            <w:tcW w:type="dxa" w:w="3408"/>
            <w:tcMar>
              <w:top w:w="85" w:type="dxa"/>
              <w:start w:w="120" w:type="dxa"/>
              <w:bottom w:w="85" w:type="dxa"/>
              <w:end w:w="120" w:type="dxa"/>
            </w:tcMar>
            <w:vAlign w:val="center"/>
          </w:tcPr>
          <w:p>
            <w:r>
              <w:rPr>
                <w:b/>
                <w:color w:val="0B1F33"/>
              </w:rPr>
              <w:t>Heuristics and biases in security decisions</w:t>
            </w:r>
          </w:p>
        </w:tc>
        <w:tc>
          <w:tcPr>
            <w:tcW w:type="dxa" w:w="3408"/>
            <w:tcMar>
              <w:top w:w="85" w:type="dxa"/>
              <w:start w:w="120" w:type="dxa"/>
              <w:bottom w:w="85" w:type="dxa"/>
              <w:end w:w="120" w:type="dxa"/>
            </w:tcMar>
            <w:vAlign w:val="center"/>
          </w:tcPr>
          <w:p>
            <w:r>
              <w:t>Bias e heuristic; default effect vs status quo; availability; overconfidence; confidence × accuracy; ethics of choice architecture.</w:t>
            </w:r>
          </w:p>
        </w:tc>
      </w:tr>
      <w:tr>
        <w:trPr>
          <w:cantSplit/>
        </w:trPr>
        <w:tc>
          <w:tcPr>
            <w:tcW w:type="dxa" w:w="3408"/>
            <w:tcMar>
              <w:top w:w="85" w:type="dxa"/>
              <w:start w:w="120" w:type="dxa"/>
              <w:bottom w:w="85" w:type="dxa"/>
              <w:end w:w="120" w:type="dxa"/>
            </w:tcMar>
            <w:vAlign w:val="center"/>
          </w:tcPr>
          <w:p>
            <w:pPr>
              <w:jc w:val="center"/>
            </w:pPr>
            <w:r>
              <w:rPr>
                <w:b/>
                <w:color w:val="00A6A6"/>
              </w:rPr>
              <w:t>L9</w:t>
            </w:r>
          </w:p>
        </w:tc>
        <w:tc>
          <w:tcPr>
            <w:tcW w:type="dxa" w:w="3408"/>
            <w:tcMar>
              <w:top w:w="85" w:type="dxa"/>
              <w:start w:w="120" w:type="dxa"/>
              <w:bottom w:w="85" w:type="dxa"/>
              <w:end w:w="120" w:type="dxa"/>
            </w:tcMar>
            <w:vAlign w:val="center"/>
          </w:tcPr>
          <w:p>
            <w:r>
              <w:rPr>
                <w:b/>
                <w:color w:val="0B1F33"/>
              </w:rPr>
              <w:t>Mental models in security-critical interaction</w:t>
            </w:r>
          </w:p>
        </w:tc>
        <w:tc>
          <w:tcPr>
            <w:tcW w:type="dxa" w:w="3408"/>
            <w:tcMar>
              <w:top w:w="85" w:type="dxa"/>
              <w:start w:w="120" w:type="dxa"/>
              <w:bottom w:w="85" w:type="dxa"/>
              <w:end w:w="120" w:type="dxa"/>
            </w:tcMar>
            <w:vAlign w:val="center"/>
          </w:tcPr>
          <w:p>
            <w:r>
              <w:t>Mental model come rappresentazione operativa, non formal HF; prediction, mapping, conceptual mismatch; passkeys e modelli di autenticazione.</w:t>
            </w:r>
          </w:p>
        </w:tc>
      </w:tr>
    </w:tbl>
    <w:p>
      <w:r>
        <w:rPr>
          <w:b/>
        </w:rPr>
        <w:t xml:space="preserve">Casi/ancore: </w:t>
      </w:r>
      <w:r>
        <w:t>SOC/alerting; secure defaults; passkeys e authentication mental models.</w:t>
      </w:r>
    </w:p>
    <w:p>
      <w:r>
        <w:rPr>
          <w:b/>
          <w:color w:val="D5A62E"/>
        </w:rPr>
        <w:t xml:space="preserve">Transizione narrativa: </w:t>
      </w:r>
      <w:r>
        <w:t>Cognition non basta: M4 mostra come affect, behavior e struttura organizzativa entrino negli stessi pathway.</w:t>
      </w:r>
    </w:p>
    <w:p>
      <w:pPr>
        <w:pStyle w:val="Heading2"/>
      </w:pPr>
      <w:r>
        <w:t>M4 — Affect, Behaviour and Organization</w:t>
      </w:r>
    </w:p>
    <w:p>
      <w:r>
        <w:rPr>
          <w:b/>
          <w:color w:val="00A6A6"/>
        </w:rPr>
        <w:t xml:space="preserve">Domanda guida: </w:t>
      </w:r>
      <w:r>
        <w:t>Perche conoscere il rischio non basta a produrre comportamento sicuro?</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sz w:val="17"/>
              </w:rPr>
              <w:t>Lezione</w:t>
            </w:r>
          </w:p>
        </w:tc>
        <w:tc>
          <w:tcPr>
            <w:tcW w:type="dxa" w:w="3408"/>
            <w:shd w:fill="0B1F33"/>
            <w:tcMar>
              <w:top w:w="100" w:type="dxa"/>
              <w:start w:w="120" w:type="dxa"/>
              <w:bottom w:w="100" w:type="dxa"/>
              <w:end w:w="120" w:type="dxa"/>
            </w:tcMar>
          </w:tcPr>
          <w:p>
            <w:pPr>
              <w:jc w:val="center"/>
            </w:pPr>
            <w:r>
              <w:rPr>
                <w:b/>
                <w:color w:val="FFFFFF"/>
                <w:sz w:val="17"/>
              </w:rPr>
              <w:t>Titolo operativo</w:t>
            </w:r>
          </w:p>
        </w:tc>
        <w:tc>
          <w:tcPr>
            <w:tcW w:type="dxa" w:w="3408"/>
            <w:shd w:fill="0B1F33"/>
            <w:tcMar>
              <w:top w:w="100" w:type="dxa"/>
              <w:start w:w="120" w:type="dxa"/>
              <w:bottom w:w="100" w:type="dxa"/>
              <w:end w:w="120" w:type="dxa"/>
            </w:tcMar>
          </w:tcPr>
          <w:p>
            <w:pPr>
              <w:jc w:val="center"/>
            </w:pPr>
            <w:r>
              <w:rPr>
                <w:b/>
                <w:color w:val="FFFFFF"/>
                <w:sz w:val="17"/>
              </w:rPr>
              <w:t>Topic da tenere a mente</w:t>
            </w:r>
          </w:p>
        </w:tc>
      </w:tr>
      <w:tr>
        <w:trPr>
          <w:cantSplit/>
        </w:trPr>
        <w:tc>
          <w:tcPr>
            <w:tcW w:type="dxa" w:w="3408"/>
            <w:tcMar>
              <w:top w:w="85" w:type="dxa"/>
              <w:start w:w="120" w:type="dxa"/>
              <w:bottom w:w="85" w:type="dxa"/>
              <w:end w:w="120" w:type="dxa"/>
            </w:tcMar>
            <w:vAlign w:val="center"/>
          </w:tcPr>
          <w:p>
            <w:pPr>
              <w:jc w:val="center"/>
            </w:pPr>
            <w:r>
              <w:rPr>
                <w:b/>
                <w:color w:val="00A6A6"/>
              </w:rPr>
              <w:t>L10</w:t>
            </w:r>
          </w:p>
        </w:tc>
        <w:tc>
          <w:tcPr>
            <w:tcW w:type="dxa" w:w="3408"/>
            <w:tcMar>
              <w:top w:w="85" w:type="dxa"/>
              <w:start w:w="120" w:type="dxa"/>
              <w:bottom w:w="85" w:type="dxa"/>
              <w:end w:w="120" w:type="dxa"/>
            </w:tcMar>
            <w:vAlign w:val="center"/>
          </w:tcPr>
          <w:p>
            <w:r>
              <w:rPr>
                <w:b/>
                <w:color w:val="0B1F33"/>
              </w:rPr>
              <w:t>Affective Factors</w:t>
            </w:r>
          </w:p>
        </w:tc>
        <w:tc>
          <w:tcPr>
            <w:tcW w:type="dxa" w:w="3408"/>
            <w:tcMar>
              <w:top w:w="85" w:type="dxa"/>
              <w:start w:w="120" w:type="dxa"/>
              <w:bottom w:w="85" w:type="dxa"/>
              <w:end w:w="120" w:type="dxa"/>
            </w:tcMar>
            <w:vAlign w:val="center"/>
          </w:tcPr>
          <w:p>
            <w:r>
              <w:t>Fear, Stress, Anxiousness, Digital Anxiety, self-efficacy; stesso stato affettivo ≠ stesso pathway; misura degli stati affettivi.</w:t>
            </w:r>
          </w:p>
        </w:tc>
      </w:tr>
      <w:tr>
        <w:trPr>
          <w:cantSplit/>
        </w:trPr>
        <w:tc>
          <w:tcPr>
            <w:tcW w:type="dxa" w:w="3408"/>
            <w:tcMar>
              <w:top w:w="85" w:type="dxa"/>
              <w:start w:w="120" w:type="dxa"/>
              <w:bottom w:w="85" w:type="dxa"/>
              <w:end w:w="120" w:type="dxa"/>
            </w:tcMar>
            <w:vAlign w:val="center"/>
          </w:tcPr>
          <w:p>
            <w:pPr>
              <w:jc w:val="center"/>
            </w:pPr>
            <w:r>
              <w:rPr>
                <w:b/>
                <w:color w:val="00A6A6"/>
              </w:rPr>
              <w:t>L11</w:t>
            </w:r>
          </w:p>
        </w:tc>
        <w:tc>
          <w:tcPr>
            <w:tcW w:type="dxa" w:w="3408"/>
            <w:tcMar>
              <w:top w:w="85" w:type="dxa"/>
              <w:start w:w="120" w:type="dxa"/>
              <w:bottom w:w="85" w:type="dxa"/>
              <w:end w:w="120" w:type="dxa"/>
            </w:tcMar>
            <w:vAlign w:val="center"/>
          </w:tcPr>
          <w:p>
            <w:r>
              <w:rPr>
                <w:b/>
                <w:color w:val="0B1F33"/>
              </w:rPr>
              <w:t>Behavioral Factors</w:t>
            </w:r>
          </w:p>
        </w:tc>
        <w:tc>
          <w:tcPr>
            <w:tcW w:type="dxa" w:w="3408"/>
            <w:tcMar>
              <w:top w:w="85" w:type="dxa"/>
              <w:start w:w="120" w:type="dxa"/>
              <w:bottom w:w="85" w:type="dxa"/>
              <w:end w:w="120" w:type="dxa"/>
            </w:tcMar>
            <w:vAlign w:val="center"/>
          </w:tcPr>
          <w:p>
            <w:r>
              <w:t>Intention-action gap; pattern vs single action; usage/addiction/exposure; Habitual Autopilot; Recurrence con criterio temporale formale.</w:t>
            </w:r>
          </w:p>
        </w:tc>
      </w:tr>
      <w:tr>
        <w:trPr>
          <w:cantSplit/>
        </w:trPr>
        <w:tc>
          <w:tcPr>
            <w:tcW w:type="dxa" w:w="3408"/>
            <w:tcMar>
              <w:top w:w="85" w:type="dxa"/>
              <w:start w:w="120" w:type="dxa"/>
              <w:bottom w:w="85" w:type="dxa"/>
              <w:end w:w="120" w:type="dxa"/>
            </w:tcMar>
            <w:vAlign w:val="center"/>
          </w:tcPr>
          <w:p>
            <w:pPr>
              <w:jc w:val="center"/>
            </w:pPr>
            <w:r>
              <w:rPr>
                <w:b/>
                <w:color w:val="00A6A6"/>
              </w:rPr>
              <w:t>L12</w:t>
            </w:r>
          </w:p>
        </w:tc>
        <w:tc>
          <w:tcPr>
            <w:tcW w:type="dxa" w:w="3408"/>
            <w:tcMar>
              <w:top w:w="85" w:type="dxa"/>
              <w:start w:w="120" w:type="dxa"/>
              <w:bottom w:w="85" w:type="dxa"/>
              <w:end w:w="120" w:type="dxa"/>
            </w:tcMar>
            <w:vAlign w:val="center"/>
          </w:tcPr>
          <w:p>
            <w:r>
              <w:rPr>
                <w:b/>
                <w:color w:val="0B1F33"/>
              </w:rPr>
              <w:t>Social and Organizational Modulators</w:t>
            </w:r>
          </w:p>
        </w:tc>
        <w:tc>
          <w:tcPr>
            <w:tcW w:type="dxa" w:w="3408"/>
            <w:tcMar>
              <w:top w:w="85" w:type="dxa"/>
              <w:start w:w="120" w:type="dxa"/>
              <w:bottom w:w="85" w:type="dxa"/>
              <w:end w:w="120" w:type="dxa"/>
            </w:tcMar>
            <w:vAlign w:val="center"/>
          </w:tcPr>
          <w:p>
            <w:r>
              <w:t>Norms, Social Influence, Social Proof, Lack of Communication, Lack of Resources, Lack of Trust; workflow, escalation e workarounds.</w:t>
            </w:r>
          </w:p>
        </w:tc>
      </w:tr>
    </w:tbl>
    <w:p>
      <w:r>
        <w:rPr>
          <w:b/>
        </w:rPr>
        <w:t xml:space="preserve">Casi/ancore: </w:t>
      </w:r>
      <w:r>
        <w:t>Password manager adoption; ritorno a pratiche precedenti; workflow organizzativi che rendono difficile la compliance.</w:t>
      </w:r>
    </w:p>
    <w:p>
      <w:r>
        <w:rPr>
          <w:b/>
          <w:color w:val="D5A62E"/>
        </w:rPr>
        <w:t xml:space="preserve">Transizione narrativa: </w:t>
      </w:r>
      <w:r>
        <w:t>M5 aggiunge il lato avversario: gli stessi processi possono essere deliberatamente sollecitati da stimuli progettati dall'attaccante.</w:t>
      </w:r>
    </w:p>
    <w:p>
      <w:pPr>
        <w:pStyle w:val="Heading2"/>
      </w:pPr>
      <w:r>
        <w:t>M5 — Social Engineering and Adversarial Triggers</w:t>
      </w:r>
    </w:p>
    <w:p>
      <w:r>
        <w:rPr>
          <w:b/>
          <w:color w:val="00A6A6"/>
        </w:rPr>
        <w:t xml:space="preserve">Domanda guida: </w:t>
      </w:r>
      <w:r>
        <w:t>Che cosa introduce l'attaccante e perche lo stesso stimulus non produce sempre lo stesso esito?</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sz w:val="17"/>
              </w:rPr>
              <w:t>Lezione</w:t>
            </w:r>
          </w:p>
        </w:tc>
        <w:tc>
          <w:tcPr>
            <w:tcW w:type="dxa" w:w="3408"/>
            <w:shd w:fill="0B1F33"/>
            <w:tcMar>
              <w:top w:w="100" w:type="dxa"/>
              <w:start w:w="120" w:type="dxa"/>
              <w:bottom w:w="100" w:type="dxa"/>
              <w:end w:w="120" w:type="dxa"/>
            </w:tcMar>
          </w:tcPr>
          <w:p>
            <w:pPr>
              <w:jc w:val="center"/>
            </w:pPr>
            <w:r>
              <w:rPr>
                <w:b/>
                <w:color w:val="FFFFFF"/>
                <w:sz w:val="17"/>
              </w:rPr>
              <w:t>Titolo operativo</w:t>
            </w:r>
          </w:p>
        </w:tc>
        <w:tc>
          <w:tcPr>
            <w:tcW w:type="dxa" w:w="3408"/>
            <w:shd w:fill="0B1F33"/>
            <w:tcMar>
              <w:top w:w="100" w:type="dxa"/>
              <w:start w:w="120" w:type="dxa"/>
              <w:bottom w:w="100" w:type="dxa"/>
              <w:end w:w="120" w:type="dxa"/>
            </w:tcMar>
          </w:tcPr>
          <w:p>
            <w:pPr>
              <w:jc w:val="center"/>
            </w:pPr>
            <w:r>
              <w:rPr>
                <w:b/>
                <w:color w:val="FFFFFF"/>
                <w:sz w:val="17"/>
              </w:rPr>
              <w:t>Topic da tenere a mente</w:t>
            </w:r>
          </w:p>
        </w:tc>
      </w:tr>
      <w:tr>
        <w:trPr>
          <w:cantSplit/>
        </w:trPr>
        <w:tc>
          <w:tcPr>
            <w:tcW w:type="dxa" w:w="3408"/>
            <w:tcMar>
              <w:top w:w="85" w:type="dxa"/>
              <w:start w:w="120" w:type="dxa"/>
              <w:bottom w:w="85" w:type="dxa"/>
              <w:end w:w="120" w:type="dxa"/>
            </w:tcMar>
            <w:vAlign w:val="center"/>
          </w:tcPr>
          <w:p>
            <w:pPr>
              <w:jc w:val="center"/>
            </w:pPr>
            <w:r>
              <w:rPr>
                <w:b/>
                <w:color w:val="00A6A6"/>
              </w:rPr>
              <w:t>L13</w:t>
            </w:r>
          </w:p>
        </w:tc>
        <w:tc>
          <w:tcPr>
            <w:tcW w:type="dxa" w:w="3408"/>
            <w:tcMar>
              <w:top w:w="85" w:type="dxa"/>
              <w:start w:w="120" w:type="dxa"/>
              <w:bottom w:w="85" w:type="dxa"/>
              <w:end w:w="120" w:type="dxa"/>
            </w:tcMar>
            <w:vAlign w:val="center"/>
          </w:tcPr>
          <w:p>
            <w:r>
              <w:rPr>
                <w:b/>
                <w:color w:val="0B1F33"/>
              </w:rPr>
              <w:t>Social engineering as an attack process</w:t>
            </w:r>
          </w:p>
        </w:tc>
        <w:tc>
          <w:tcPr>
            <w:tcW w:type="dxa" w:w="3408"/>
            <w:tcMar>
              <w:top w:w="85" w:type="dxa"/>
              <w:start w:w="120" w:type="dxa"/>
              <w:bottom w:w="85" w:type="dxa"/>
              <w:end w:w="120" w:type="dxa"/>
            </w:tcMar>
            <w:vAlign w:val="center"/>
          </w:tcPr>
          <w:p>
            <w:r>
              <w:t>Reconnaissance, pretext, contact, influence; phishing, spear-phishing, BEC, help-desk attacks, long-con e impersonation.</w:t>
            </w:r>
          </w:p>
        </w:tc>
      </w:tr>
      <w:tr>
        <w:trPr>
          <w:cantSplit/>
        </w:trPr>
        <w:tc>
          <w:tcPr>
            <w:tcW w:type="dxa" w:w="3408"/>
            <w:tcMar>
              <w:top w:w="85" w:type="dxa"/>
              <w:start w:w="120" w:type="dxa"/>
              <w:bottom w:w="85" w:type="dxa"/>
              <w:end w:w="120" w:type="dxa"/>
            </w:tcMar>
            <w:vAlign w:val="center"/>
          </w:tcPr>
          <w:p>
            <w:pPr>
              <w:jc w:val="center"/>
            </w:pPr>
            <w:r>
              <w:rPr>
                <w:b/>
                <w:color w:val="00A6A6"/>
              </w:rPr>
              <w:t>L14</w:t>
            </w:r>
          </w:p>
        </w:tc>
        <w:tc>
          <w:tcPr>
            <w:tcW w:type="dxa" w:w="3408"/>
            <w:tcMar>
              <w:top w:w="85" w:type="dxa"/>
              <w:start w:w="120" w:type="dxa"/>
              <w:bottom w:w="85" w:type="dxa"/>
              <w:end w:w="120" w:type="dxa"/>
            </w:tcMar>
            <w:vAlign w:val="center"/>
          </w:tcPr>
          <w:p>
            <w:r>
              <w:rPr>
                <w:b/>
                <w:color w:val="0B1F33"/>
              </w:rPr>
              <w:t>Adversarial Triggers</w:t>
            </w:r>
          </w:p>
        </w:tc>
        <w:tc>
          <w:tcPr>
            <w:tcW w:type="dxa" w:w="3408"/>
            <w:tcMar>
              <w:top w:w="85" w:type="dxa"/>
              <w:start w:w="120" w:type="dxa"/>
              <w:bottom w:w="85" w:type="dxa"/>
              <w:end w:w="120" w:type="dxa"/>
            </w:tcMar>
            <w:vAlign w:val="center"/>
          </w:tcPr>
          <w:p>
            <w:r>
              <w:t>Quattro famiglie: Persuasion Principles, Emotional Drivers, Time Pressure, Deceptive User Interfaces; boundary cases authority/social proof/time pressure.</w:t>
            </w:r>
          </w:p>
        </w:tc>
      </w:tr>
      <w:tr>
        <w:trPr>
          <w:cantSplit/>
        </w:trPr>
        <w:tc>
          <w:tcPr>
            <w:tcW w:type="dxa" w:w="3408"/>
            <w:tcMar>
              <w:top w:w="85" w:type="dxa"/>
              <w:start w:w="120" w:type="dxa"/>
              <w:bottom w:w="85" w:type="dxa"/>
              <w:end w:w="120" w:type="dxa"/>
            </w:tcMar>
            <w:vAlign w:val="center"/>
          </w:tcPr>
          <w:p>
            <w:pPr>
              <w:jc w:val="center"/>
            </w:pPr>
            <w:r>
              <w:rPr>
                <w:b/>
                <w:color w:val="00A6A6"/>
              </w:rPr>
              <w:t>L15</w:t>
            </w:r>
          </w:p>
        </w:tc>
        <w:tc>
          <w:tcPr>
            <w:tcW w:type="dxa" w:w="3408"/>
            <w:tcMar>
              <w:top w:w="85" w:type="dxa"/>
              <w:start w:w="120" w:type="dxa"/>
              <w:bottom w:w="85" w:type="dxa"/>
              <w:end w:w="120" w:type="dxa"/>
            </w:tcMar>
            <w:vAlign w:val="center"/>
          </w:tcPr>
          <w:p>
            <w:r>
              <w:rPr>
                <w:b/>
                <w:color w:val="0B1F33"/>
              </w:rPr>
              <w:t>Susceptibility and competing pathways</w:t>
            </w:r>
          </w:p>
        </w:tc>
        <w:tc>
          <w:tcPr>
            <w:tcW w:type="dxa" w:w="3408"/>
            <w:tcMar>
              <w:top w:w="85" w:type="dxa"/>
              <w:start w:w="120" w:type="dxa"/>
              <w:bottom w:w="85" w:type="dxa"/>
              <w:end w:w="120" w:type="dxa"/>
            </w:tcMar>
            <w:vAlign w:val="center"/>
          </w:tcPr>
          <w:p>
            <w:r>
              <w:t>Same message ≠ same response; same action ≠ same diagnosis; Context + Trigger + formal factors + Observed Action + Outcome; mitigation preview senza anticipare M6.</w:t>
            </w:r>
          </w:p>
        </w:tc>
      </w:tr>
    </w:tbl>
    <w:p>
      <w:r>
        <w:rPr>
          <w:b/>
        </w:rPr>
        <w:t xml:space="preserve">Casi/ancore: </w:t>
      </w:r>
      <w:r>
        <w:t>BEC; targeted spear-phishing; help-desk impersonation; pig-butchering/long-con come pattern temporale.</w:t>
      </w:r>
    </w:p>
    <w:p>
      <w:r>
        <w:rPr>
          <w:b/>
          <w:color w:val="D5A62E"/>
        </w:rPr>
        <w:t xml:space="preserve">Transizione narrativa: </w:t>
      </w:r>
      <w:r>
        <w:t>M5 spiega il problema. M6 chiede cosa cambiare nel sistema, mantenendo tracciabile la diagnosi.</w:t>
      </w:r>
    </w:p>
    <w:p>
      <w:pPr>
        <w:pStyle w:val="Heading2"/>
      </w:pPr>
      <w:r>
        <w:t>M6 — Human-Centred Security Design</w:t>
      </w:r>
    </w:p>
    <w:p>
      <w:r>
        <w:rPr>
          <w:b/>
          <w:color w:val="00A6A6"/>
        </w:rPr>
        <w:t xml:space="preserve">Domanda guida: </w:t>
      </w:r>
      <w:r>
        <w:t>Come trasformiamo una diagnosi in un requisito e in un intervento verificabile?</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sz w:val="17"/>
              </w:rPr>
              <w:t>Lezione</w:t>
            </w:r>
          </w:p>
        </w:tc>
        <w:tc>
          <w:tcPr>
            <w:tcW w:type="dxa" w:w="3408"/>
            <w:shd w:fill="0B1F33"/>
            <w:tcMar>
              <w:top w:w="100" w:type="dxa"/>
              <w:start w:w="120" w:type="dxa"/>
              <w:bottom w:w="100" w:type="dxa"/>
              <w:end w:w="120" w:type="dxa"/>
            </w:tcMar>
          </w:tcPr>
          <w:p>
            <w:pPr>
              <w:jc w:val="center"/>
            </w:pPr>
            <w:r>
              <w:rPr>
                <w:b/>
                <w:color w:val="FFFFFF"/>
                <w:sz w:val="17"/>
              </w:rPr>
              <w:t>Titolo operativo</w:t>
            </w:r>
          </w:p>
        </w:tc>
        <w:tc>
          <w:tcPr>
            <w:tcW w:type="dxa" w:w="3408"/>
            <w:shd w:fill="0B1F33"/>
            <w:tcMar>
              <w:top w:w="100" w:type="dxa"/>
              <w:start w:w="120" w:type="dxa"/>
              <w:bottom w:w="100" w:type="dxa"/>
              <w:end w:w="120" w:type="dxa"/>
            </w:tcMar>
          </w:tcPr>
          <w:p>
            <w:pPr>
              <w:jc w:val="center"/>
            </w:pPr>
            <w:r>
              <w:rPr>
                <w:b/>
                <w:color w:val="FFFFFF"/>
                <w:sz w:val="17"/>
              </w:rPr>
              <w:t>Topic da tenere a mente</w:t>
            </w:r>
          </w:p>
        </w:tc>
      </w:tr>
      <w:tr>
        <w:trPr>
          <w:cantSplit/>
        </w:trPr>
        <w:tc>
          <w:tcPr>
            <w:tcW w:type="dxa" w:w="3408"/>
            <w:tcMar>
              <w:top w:w="85" w:type="dxa"/>
              <w:start w:w="120" w:type="dxa"/>
              <w:bottom w:w="85" w:type="dxa"/>
              <w:end w:w="120" w:type="dxa"/>
            </w:tcMar>
            <w:vAlign w:val="center"/>
          </w:tcPr>
          <w:p>
            <w:pPr>
              <w:jc w:val="center"/>
            </w:pPr>
            <w:r>
              <w:rPr>
                <w:b/>
                <w:color w:val="00A6A6"/>
              </w:rPr>
              <w:t>L16</w:t>
            </w:r>
          </w:p>
        </w:tc>
        <w:tc>
          <w:tcPr>
            <w:tcW w:type="dxa" w:w="3408"/>
            <w:tcMar>
              <w:top w:w="85" w:type="dxa"/>
              <w:start w:w="120" w:type="dxa"/>
              <w:bottom w:w="85" w:type="dxa"/>
              <w:end w:w="120" w:type="dxa"/>
            </w:tcMar>
            <w:vAlign w:val="center"/>
          </w:tcPr>
          <w:p>
            <w:r>
              <w:rPr>
                <w:b/>
                <w:color w:val="0B1F33"/>
              </w:rPr>
              <w:t>Human-centred security design</w:t>
            </w:r>
          </w:p>
        </w:tc>
        <w:tc>
          <w:tcPr>
            <w:tcW w:type="dxa" w:w="3408"/>
            <w:tcMar>
              <w:top w:w="85" w:type="dxa"/>
              <w:start w:w="120" w:type="dxa"/>
              <w:bottom w:w="85" w:type="dxa"/>
              <w:end w:w="120" w:type="dxa"/>
            </w:tcMar>
            <w:vAlign w:val="center"/>
          </w:tcPr>
          <w:p>
            <w:r>
              <w:t>Context of use; users/tasks/environment; requisito verificabile; alternative; evaluation; primary task + security task.</w:t>
            </w:r>
          </w:p>
        </w:tc>
      </w:tr>
      <w:tr>
        <w:trPr>
          <w:cantSplit/>
        </w:trPr>
        <w:tc>
          <w:tcPr>
            <w:tcW w:type="dxa" w:w="3408"/>
            <w:tcMar>
              <w:top w:w="85" w:type="dxa"/>
              <w:start w:w="120" w:type="dxa"/>
              <w:bottom w:w="85" w:type="dxa"/>
              <w:end w:w="120" w:type="dxa"/>
            </w:tcMar>
            <w:vAlign w:val="center"/>
          </w:tcPr>
          <w:p>
            <w:pPr>
              <w:jc w:val="center"/>
            </w:pPr>
            <w:r>
              <w:rPr>
                <w:b/>
                <w:color w:val="00A6A6"/>
              </w:rPr>
              <w:t>L17</w:t>
            </w:r>
          </w:p>
        </w:tc>
        <w:tc>
          <w:tcPr>
            <w:tcW w:type="dxa" w:w="3408"/>
            <w:tcMar>
              <w:top w:w="85" w:type="dxa"/>
              <w:start w:w="120" w:type="dxa"/>
              <w:bottom w:w="85" w:type="dxa"/>
              <w:end w:w="120" w:type="dxa"/>
            </w:tcMar>
            <w:vAlign w:val="center"/>
          </w:tcPr>
          <w:p>
            <w:r>
              <w:rPr>
                <w:b/>
                <w:color w:val="0B1F33"/>
              </w:rPr>
              <w:t>Interaction design for secure behavior</w:t>
            </w:r>
          </w:p>
        </w:tc>
        <w:tc>
          <w:tcPr>
            <w:tcW w:type="dxa" w:w="3408"/>
            <w:tcMar>
              <w:top w:w="85" w:type="dxa"/>
              <w:start w:w="120" w:type="dxa"/>
              <w:bottom w:w="85" w:type="dxa"/>
              <w:end w:w="120" w:type="dxa"/>
            </w:tcMar>
            <w:vAlign w:val="center"/>
          </w:tcPr>
          <w:p>
            <w:r>
              <w:t>Necessary friction vs accidental burden; secure defaults; feedback; actionable warnings; number matching; recovery; mental-model alignment.</w:t>
            </w:r>
          </w:p>
        </w:tc>
      </w:tr>
      <w:tr>
        <w:trPr>
          <w:cantSplit/>
        </w:trPr>
        <w:tc>
          <w:tcPr>
            <w:tcW w:type="dxa" w:w="3408"/>
            <w:tcMar>
              <w:top w:w="85" w:type="dxa"/>
              <w:start w:w="120" w:type="dxa"/>
              <w:bottom w:w="85" w:type="dxa"/>
              <w:end w:w="120" w:type="dxa"/>
            </w:tcMar>
            <w:vAlign w:val="center"/>
          </w:tcPr>
          <w:p>
            <w:pPr>
              <w:jc w:val="center"/>
            </w:pPr>
            <w:r>
              <w:rPr>
                <w:b/>
                <w:color w:val="00A6A6"/>
              </w:rPr>
              <w:t>L18</w:t>
            </w:r>
          </w:p>
        </w:tc>
        <w:tc>
          <w:tcPr>
            <w:tcW w:type="dxa" w:w="3408"/>
            <w:tcMar>
              <w:top w:w="85" w:type="dxa"/>
              <w:start w:w="120" w:type="dxa"/>
              <w:bottom w:w="85" w:type="dxa"/>
              <w:end w:w="120" w:type="dxa"/>
            </w:tcMar>
            <w:vAlign w:val="center"/>
          </w:tcPr>
          <w:p>
            <w:r>
              <w:rPr>
                <w:b/>
                <w:color w:val="0B1F33"/>
              </w:rPr>
              <w:t>From diagnosis to intervention</w:t>
            </w:r>
          </w:p>
        </w:tc>
        <w:tc>
          <w:tcPr>
            <w:tcW w:type="dxa" w:w="3408"/>
            <w:tcMar>
              <w:top w:w="85" w:type="dxa"/>
              <w:start w:w="120" w:type="dxa"/>
              <w:bottom w:w="85" w:type="dxa"/>
              <w:end w:w="120" w:type="dxa"/>
            </w:tcMar>
            <w:vAlign w:val="center"/>
          </w:tcPr>
          <w:p>
            <w:r>
              <w:t>Automate, support, train, organizational change; human dependency; policy burden; integration nel SDLC; unintended consequences.</w:t>
            </w:r>
          </w:p>
        </w:tc>
      </w:tr>
    </w:tbl>
    <w:p>
      <w:r>
        <w:rPr>
          <w:b/>
        </w:rPr>
        <w:t xml:space="preserve">Casi/ancore: </w:t>
      </w:r>
      <w:r>
        <w:t>Login “perfetto sulla carta”; MFA approve/deny e number matching; warning vague vs actionable; password rotation policy.</w:t>
      </w:r>
    </w:p>
    <w:p>
      <w:r>
        <w:rPr>
          <w:b/>
          <w:color w:val="D5A62E"/>
        </w:rPr>
        <w:t xml:space="preserve">Transizione narrativa: </w:t>
      </w:r>
      <w:r>
        <w:t>Dopo aver progettato, serve sapere se la spiegazione e l'intervento sono supportati. M7 porta la disciplina dell'evidenza.</w:t>
      </w:r>
    </w:p>
    <w:p>
      <w:pPr>
        <w:pStyle w:val="Heading2"/>
      </w:pPr>
      <w:r>
        <w:t>M7 — Evidence and Measurement</w:t>
      </w:r>
    </w:p>
    <w:p>
      <w:r>
        <w:rPr>
          <w:b/>
          <w:color w:val="00A6A6"/>
        </w:rPr>
        <w:t xml:space="preserve">Domanda guida: </w:t>
      </w:r>
      <w:r>
        <w:t>Come facciamo a sapere che una claim sui fattori umani e davvero supportata?</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sz w:val="17"/>
              </w:rPr>
              <w:t>Lezione</w:t>
            </w:r>
          </w:p>
        </w:tc>
        <w:tc>
          <w:tcPr>
            <w:tcW w:type="dxa" w:w="3408"/>
            <w:shd w:fill="0B1F33"/>
            <w:tcMar>
              <w:top w:w="100" w:type="dxa"/>
              <w:start w:w="120" w:type="dxa"/>
              <w:bottom w:w="100" w:type="dxa"/>
              <w:end w:w="120" w:type="dxa"/>
            </w:tcMar>
          </w:tcPr>
          <w:p>
            <w:pPr>
              <w:jc w:val="center"/>
            </w:pPr>
            <w:r>
              <w:rPr>
                <w:b/>
                <w:color w:val="FFFFFF"/>
                <w:sz w:val="17"/>
              </w:rPr>
              <w:t>Titolo operativo</w:t>
            </w:r>
          </w:p>
        </w:tc>
        <w:tc>
          <w:tcPr>
            <w:tcW w:type="dxa" w:w="3408"/>
            <w:shd w:fill="0B1F33"/>
            <w:tcMar>
              <w:top w:w="100" w:type="dxa"/>
              <w:start w:w="120" w:type="dxa"/>
              <w:bottom w:w="100" w:type="dxa"/>
              <w:end w:w="120" w:type="dxa"/>
            </w:tcMar>
          </w:tcPr>
          <w:p>
            <w:pPr>
              <w:jc w:val="center"/>
            </w:pPr>
            <w:r>
              <w:rPr>
                <w:b/>
                <w:color w:val="FFFFFF"/>
                <w:sz w:val="17"/>
              </w:rPr>
              <w:t>Topic da tenere a mente</w:t>
            </w:r>
          </w:p>
        </w:tc>
      </w:tr>
      <w:tr>
        <w:trPr>
          <w:cantSplit/>
        </w:trPr>
        <w:tc>
          <w:tcPr>
            <w:tcW w:type="dxa" w:w="3408"/>
            <w:tcMar>
              <w:top w:w="85" w:type="dxa"/>
              <w:start w:w="120" w:type="dxa"/>
              <w:bottom w:w="85" w:type="dxa"/>
              <w:end w:w="120" w:type="dxa"/>
            </w:tcMar>
            <w:vAlign w:val="center"/>
          </w:tcPr>
          <w:p>
            <w:pPr>
              <w:jc w:val="center"/>
            </w:pPr>
            <w:r>
              <w:rPr>
                <w:b/>
                <w:color w:val="00A6A6"/>
              </w:rPr>
              <w:t>L19</w:t>
            </w:r>
          </w:p>
        </w:tc>
        <w:tc>
          <w:tcPr>
            <w:tcW w:type="dxa" w:w="3408"/>
            <w:tcMar>
              <w:top w:w="85" w:type="dxa"/>
              <w:start w:w="120" w:type="dxa"/>
              <w:bottom w:w="85" w:type="dxa"/>
              <w:end w:w="120" w:type="dxa"/>
            </w:tcMar>
            <w:vAlign w:val="center"/>
          </w:tcPr>
          <w:p>
            <w:r>
              <w:rPr>
                <w:b/>
                <w:color w:val="0B1F33"/>
              </w:rPr>
              <w:t>Evidence discipline</w:t>
            </w:r>
          </w:p>
        </w:tc>
        <w:tc>
          <w:tcPr>
            <w:tcW w:type="dxa" w:w="3408"/>
            <w:tcMar>
              <w:top w:w="85" w:type="dxa"/>
              <w:start w:w="120" w:type="dxa"/>
              <w:bottom w:w="85" w:type="dxa"/>
              <w:end w:w="120" w:type="dxa"/>
            </w:tcMar>
            <w:vAlign w:val="center"/>
          </w:tcPr>
          <w:p>
            <w:r>
              <w:t>Construct vs measure; observation vs inference; association/prediction/causality; validity, uncertainty, generalizability, effect magnitude.</w:t>
            </w:r>
          </w:p>
        </w:tc>
      </w:tr>
      <w:tr>
        <w:trPr>
          <w:cantSplit/>
        </w:trPr>
        <w:tc>
          <w:tcPr>
            <w:tcW w:type="dxa" w:w="3408"/>
            <w:tcMar>
              <w:top w:w="85" w:type="dxa"/>
              <w:start w:w="120" w:type="dxa"/>
              <w:bottom w:w="85" w:type="dxa"/>
              <w:end w:w="120" w:type="dxa"/>
            </w:tcMar>
            <w:vAlign w:val="center"/>
          </w:tcPr>
          <w:p>
            <w:pPr>
              <w:jc w:val="center"/>
            </w:pPr>
            <w:r>
              <w:rPr>
                <w:b/>
                <w:color w:val="00A6A6"/>
              </w:rPr>
              <w:t>L20</w:t>
            </w:r>
          </w:p>
        </w:tc>
        <w:tc>
          <w:tcPr>
            <w:tcW w:type="dxa" w:w="3408"/>
            <w:tcMar>
              <w:top w:w="85" w:type="dxa"/>
              <w:start w:w="120" w:type="dxa"/>
              <w:bottom w:w="85" w:type="dxa"/>
              <w:end w:w="120" w:type="dxa"/>
            </w:tcMar>
            <w:vAlign w:val="center"/>
          </w:tcPr>
          <w:p>
            <w:r>
              <w:rPr>
                <w:b/>
                <w:color w:val="0B1F33"/>
              </w:rPr>
              <w:t>Methods for human-centred cybersecurity</w:t>
            </w:r>
          </w:p>
        </w:tc>
        <w:tc>
          <w:tcPr>
            <w:tcW w:type="dxa" w:w="3408"/>
            <w:tcMar>
              <w:top w:w="85" w:type="dxa"/>
              <w:start w:w="120" w:type="dxa"/>
              <w:bottom w:w="85" w:type="dxa"/>
              <w:end w:w="120" w:type="dxa"/>
            </w:tcMar>
            <w:vAlign w:val="center"/>
          </w:tcPr>
          <w:p>
            <w:r>
              <w:t>Research question → method → evidence; survey, interview, think-aloud, observation, experiment, field study; mixed methods come complementarita.</w:t>
            </w:r>
          </w:p>
        </w:tc>
      </w:tr>
      <w:tr>
        <w:trPr>
          <w:cantSplit/>
        </w:trPr>
        <w:tc>
          <w:tcPr>
            <w:tcW w:type="dxa" w:w="3408"/>
            <w:tcMar>
              <w:top w:w="85" w:type="dxa"/>
              <w:start w:w="120" w:type="dxa"/>
              <w:bottom w:w="85" w:type="dxa"/>
              <w:end w:w="120" w:type="dxa"/>
            </w:tcMar>
            <w:vAlign w:val="center"/>
          </w:tcPr>
          <w:p>
            <w:pPr>
              <w:jc w:val="center"/>
            </w:pPr>
            <w:r>
              <w:rPr>
                <w:b/>
                <w:color w:val="00A6A6"/>
              </w:rPr>
              <w:t>L21</w:t>
            </w:r>
          </w:p>
        </w:tc>
        <w:tc>
          <w:tcPr>
            <w:tcW w:type="dxa" w:w="3408"/>
            <w:tcMar>
              <w:top w:w="85" w:type="dxa"/>
              <w:start w:w="120" w:type="dxa"/>
              <w:bottom w:w="85" w:type="dxa"/>
              <w:end w:w="120" w:type="dxa"/>
            </w:tcMar>
            <w:vAlign w:val="center"/>
          </w:tcPr>
          <w:p>
            <w:r>
              <w:rPr>
                <w:b/>
                <w:color w:val="0B1F33"/>
              </w:rPr>
              <w:t>Measuring Human Factors in MORPHEUS</w:t>
            </w:r>
          </w:p>
        </w:tc>
        <w:tc>
          <w:tcPr>
            <w:tcW w:type="dxa" w:w="3408"/>
            <w:tcMar>
              <w:top w:w="85" w:type="dxa"/>
              <w:start w:w="120" w:type="dxa"/>
              <w:bottom w:w="85" w:type="dxa"/>
              <w:end w:w="120" w:type="dxa"/>
            </w:tcMar>
            <w:vAlign w:val="center"/>
          </w:tcPr>
          <w:p>
            <w:r>
              <w:t>First-person, second-person, third-person measurement; operationalization; measurement plan; privacy, ethics e governance.</w:t>
            </w:r>
          </w:p>
        </w:tc>
      </w:tr>
    </w:tbl>
    <w:p>
      <w:r>
        <w:rPr>
          <w:b/>
        </w:rPr>
        <w:t xml:space="preserve">Casi/ancore: </w:t>
      </w:r>
      <w:r>
        <w:t>“Stress causes phishing”; proxy/construct confusion; survey + log + observation; measurement di workload vs Stress.</w:t>
      </w:r>
    </w:p>
    <w:p>
      <w:r>
        <w:rPr>
          <w:b/>
          <w:color w:val="D5A62E"/>
        </w:rPr>
        <w:t xml:space="preserve">Transizione narrativa: </w:t>
      </w:r>
      <w:r>
        <w:t>M8 usa tutta la disciplina precedente per fare diagnosi integrate, scegliere evidence e collegare pathway a mitigation/evaluation.</w:t>
      </w:r>
    </w:p>
    <w:p>
      <w:pPr>
        <w:pStyle w:val="Heading2"/>
      </w:pPr>
      <w:r>
        <w:t>M8 — Integration, Diagnosis and Mitigation</w:t>
      </w:r>
    </w:p>
    <w:p>
      <w:r>
        <w:rPr>
          <w:b/>
          <w:color w:val="00A6A6"/>
        </w:rPr>
        <w:t xml:space="preserve">Domanda guida: </w:t>
      </w:r>
      <w:r>
        <w:t>Come costruiamo una risposta end-to-end, prudente e utile a un incidente reale?</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sz w:val="17"/>
              </w:rPr>
              <w:t>Lezione</w:t>
            </w:r>
          </w:p>
        </w:tc>
        <w:tc>
          <w:tcPr>
            <w:tcW w:type="dxa" w:w="3408"/>
            <w:shd w:fill="0B1F33"/>
            <w:tcMar>
              <w:top w:w="100" w:type="dxa"/>
              <w:start w:w="120" w:type="dxa"/>
              <w:bottom w:w="100" w:type="dxa"/>
              <w:end w:w="120" w:type="dxa"/>
            </w:tcMar>
          </w:tcPr>
          <w:p>
            <w:pPr>
              <w:jc w:val="center"/>
            </w:pPr>
            <w:r>
              <w:rPr>
                <w:b/>
                <w:color w:val="FFFFFF"/>
                <w:sz w:val="17"/>
              </w:rPr>
              <w:t>Titolo operativo</w:t>
            </w:r>
          </w:p>
        </w:tc>
        <w:tc>
          <w:tcPr>
            <w:tcW w:type="dxa" w:w="3408"/>
            <w:shd w:fill="0B1F33"/>
            <w:tcMar>
              <w:top w:w="100" w:type="dxa"/>
              <w:start w:w="120" w:type="dxa"/>
              <w:bottom w:w="100" w:type="dxa"/>
              <w:end w:w="120" w:type="dxa"/>
            </w:tcMar>
          </w:tcPr>
          <w:p>
            <w:pPr>
              <w:jc w:val="center"/>
            </w:pPr>
            <w:r>
              <w:rPr>
                <w:b/>
                <w:color w:val="FFFFFF"/>
                <w:sz w:val="17"/>
              </w:rPr>
              <w:t>Topic da tenere a mente</w:t>
            </w:r>
          </w:p>
        </w:tc>
      </w:tr>
      <w:tr>
        <w:trPr>
          <w:cantSplit/>
        </w:trPr>
        <w:tc>
          <w:tcPr>
            <w:tcW w:type="dxa" w:w="3408"/>
            <w:tcMar>
              <w:top w:w="85" w:type="dxa"/>
              <w:start w:w="120" w:type="dxa"/>
              <w:bottom w:w="85" w:type="dxa"/>
              <w:end w:w="120" w:type="dxa"/>
            </w:tcMar>
            <w:vAlign w:val="center"/>
          </w:tcPr>
          <w:p>
            <w:pPr>
              <w:jc w:val="center"/>
            </w:pPr>
            <w:r>
              <w:rPr>
                <w:b/>
                <w:color w:val="00A6A6"/>
              </w:rPr>
              <w:t>L22</w:t>
            </w:r>
          </w:p>
        </w:tc>
        <w:tc>
          <w:tcPr>
            <w:tcW w:type="dxa" w:w="3408"/>
            <w:tcMar>
              <w:top w:w="85" w:type="dxa"/>
              <w:start w:w="120" w:type="dxa"/>
              <w:bottom w:w="85" w:type="dxa"/>
              <w:end w:w="120" w:type="dxa"/>
            </w:tcMar>
            <w:vAlign w:val="center"/>
          </w:tcPr>
          <w:p>
            <w:r>
              <w:rPr>
                <w:b/>
                <w:color w:val="0B1F33"/>
              </w:rPr>
              <w:t>The 12 interaction mechanisms</w:t>
            </w:r>
          </w:p>
        </w:tc>
        <w:tc>
          <w:tcPr>
            <w:tcW w:type="dxa" w:w="3408"/>
            <w:tcMar>
              <w:top w:w="85" w:type="dxa"/>
              <w:start w:w="120" w:type="dxa"/>
              <w:bottom w:w="85" w:type="dxa"/>
              <w:end w:w="120" w:type="dxa"/>
            </w:tcMar>
            <w:vAlign w:val="center"/>
          </w:tcPr>
          <w:p>
            <w:r>
              <w:t>Meccanismi come pattern di sintesi; cascades e feedback; non sono diagnosi automatiche; focus su mechanism 5 e habitual autopilot.</w:t>
            </w:r>
          </w:p>
        </w:tc>
      </w:tr>
      <w:tr>
        <w:trPr>
          <w:cantSplit/>
        </w:trPr>
        <w:tc>
          <w:tcPr>
            <w:tcW w:type="dxa" w:w="3408"/>
            <w:tcMar>
              <w:top w:w="85" w:type="dxa"/>
              <w:start w:w="120" w:type="dxa"/>
              <w:bottom w:w="85" w:type="dxa"/>
              <w:end w:w="120" w:type="dxa"/>
            </w:tcMar>
            <w:vAlign w:val="center"/>
          </w:tcPr>
          <w:p>
            <w:pPr>
              <w:jc w:val="center"/>
            </w:pPr>
            <w:r>
              <w:rPr>
                <w:b/>
                <w:color w:val="00A6A6"/>
              </w:rPr>
              <w:t>L23</w:t>
            </w:r>
          </w:p>
        </w:tc>
        <w:tc>
          <w:tcPr>
            <w:tcW w:type="dxa" w:w="3408"/>
            <w:tcMar>
              <w:top w:w="85" w:type="dxa"/>
              <w:start w:w="120" w:type="dxa"/>
              <w:bottom w:w="85" w:type="dxa"/>
              <w:end w:w="120" w:type="dxa"/>
            </w:tcMar>
            <w:vAlign w:val="center"/>
          </w:tcPr>
          <w:p>
            <w:r>
              <w:rPr>
                <w:b/>
                <w:color w:val="0B1F33"/>
              </w:rPr>
              <w:t>HCRA</w:t>
            </w:r>
          </w:p>
        </w:tc>
        <w:tc>
          <w:tcPr>
            <w:tcW w:type="dxa" w:w="3408"/>
            <w:tcMar>
              <w:top w:w="85" w:type="dxa"/>
              <w:start w:w="120" w:type="dxa"/>
              <w:bottom w:w="85" w:type="dxa"/>
              <w:end w:w="120" w:type="dxa"/>
            </w:tcMar>
            <w:vAlign w:val="center"/>
          </w:tcPr>
          <w:p>
            <w:r>
              <w:t>Tre fasi canoniche: Factor Identification &amp; Filtering; Quantification &amp; Assessment; Systemic Analysis. Poi operationalization del corso con Mitigation → Evaluation.</w:t>
            </w:r>
          </w:p>
        </w:tc>
      </w:tr>
      <w:tr>
        <w:trPr>
          <w:cantSplit/>
        </w:trPr>
        <w:tc>
          <w:tcPr>
            <w:tcW w:type="dxa" w:w="3408"/>
            <w:tcMar>
              <w:top w:w="85" w:type="dxa"/>
              <w:start w:w="120" w:type="dxa"/>
              <w:bottom w:w="85" w:type="dxa"/>
              <w:end w:w="120" w:type="dxa"/>
            </w:tcMar>
            <w:vAlign w:val="center"/>
          </w:tcPr>
          <w:p>
            <w:pPr>
              <w:jc w:val="center"/>
            </w:pPr>
            <w:r>
              <w:rPr>
                <w:b/>
                <w:color w:val="00A6A6"/>
              </w:rPr>
              <w:t>L24</w:t>
            </w:r>
          </w:p>
        </w:tc>
        <w:tc>
          <w:tcPr>
            <w:tcW w:type="dxa" w:w="3408"/>
            <w:tcMar>
              <w:top w:w="85" w:type="dxa"/>
              <w:start w:w="120" w:type="dxa"/>
              <w:bottom w:w="85" w:type="dxa"/>
              <w:end w:w="120" w:type="dxa"/>
            </w:tcMar>
            <w:vAlign w:val="center"/>
          </w:tcPr>
          <w:p>
            <w:r>
              <w:rPr>
                <w:b/>
                <w:color w:val="0B1F33"/>
              </w:rPr>
              <w:t>Integrated diagnosis and transfer</w:t>
            </w:r>
          </w:p>
        </w:tc>
        <w:tc>
          <w:tcPr>
            <w:tcW w:type="dxa" w:w="3408"/>
            <w:tcMar>
              <w:top w:w="85" w:type="dxa"/>
              <w:start w:w="120" w:type="dxa"/>
              <w:bottom w:w="85" w:type="dxa"/>
              <w:end w:w="120" w:type="dxa"/>
            </w:tcMar>
            <w:vAlign w:val="center"/>
          </w:tcPr>
          <w:p>
            <w:r>
              <w:t>Facts/inference; Context; Trigger; formal factors; Observed Action; Outcome; competing hypotheses; discriminating evidence; requirement; mitigation; evaluation; final self-assessment.</w:t>
            </w:r>
          </w:p>
        </w:tc>
      </w:tr>
    </w:tbl>
    <w:p>
      <w:r>
        <w:rPr>
          <w:b/>
        </w:rPr>
        <w:t xml:space="preserve">Casi/ancore: </w:t>
      </w:r>
      <w:r>
        <w:t>Scenari C-H di transfer; casi con missing temporal evidence, alternative measurement, trait inference limits, side effects.</w:t>
      </w:r>
    </w:p>
    <w:p>
      <w:r>
        <w:rPr>
          <w:b/>
          <w:color w:val="D5A62E"/>
        </w:rPr>
        <w:t xml:space="preserve">Transizione narrativa: </w:t>
      </w:r>
      <w:r>
        <w:t>Chiusura: la competenza e saper giustificare una diagnosi e sapere che cosa manca, non recitare il framework.</w:t>
      </w:r>
    </w:p>
    <w:p>
      <w:pPr>
        <w:pStyle w:val="Heading1"/>
      </w:pPr>
      <w:r>
        <w:t>4. I concetti canonici da non confondere mentre insegni</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0B1F33"/>
            <w:tcMar>
              <w:top w:w="100" w:type="dxa"/>
              <w:start w:w="120" w:type="dxa"/>
              <w:bottom w:w="100" w:type="dxa"/>
              <w:end w:w="120" w:type="dxa"/>
            </w:tcMar>
          </w:tcPr>
          <w:p>
            <w:pPr>
              <w:jc w:val="center"/>
            </w:pPr>
            <w:r>
              <w:rPr>
                <w:b/>
                <w:color w:val="FFFFFF"/>
              </w:rPr>
              <w:t>Concetto</w:t>
            </w:r>
          </w:p>
        </w:tc>
        <w:tc>
          <w:tcPr>
            <w:tcW w:type="dxa" w:w="3408"/>
            <w:shd w:fill="0B1F33"/>
            <w:tcMar>
              <w:top w:w="100" w:type="dxa"/>
              <w:start w:w="120" w:type="dxa"/>
              <w:bottom w:w="100" w:type="dxa"/>
              <w:end w:w="120" w:type="dxa"/>
            </w:tcMar>
          </w:tcPr>
          <w:p>
            <w:pPr>
              <w:jc w:val="center"/>
            </w:pPr>
            <w:r>
              <w:rPr>
                <w:b/>
                <w:color w:val="FFFFFF"/>
              </w:rPr>
              <w:t>Regola breve</w:t>
            </w:r>
          </w:p>
        </w:tc>
        <w:tc>
          <w:tcPr>
            <w:tcW w:type="dxa" w:w="3408"/>
            <w:shd w:fill="0B1F33"/>
            <w:tcMar>
              <w:top w:w="100" w:type="dxa"/>
              <w:start w:w="120" w:type="dxa"/>
              <w:bottom w:w="100" w:type="dxa"/>
              <w:end w:w="120" w:type="dxa"/>
            </w:tcMar>
          </w:tcPr>
          <w:p>
            <w:pPr>
              <w:jc w:val="center"/>
            </w:pPr>
            <w:r>
              <w:rPr>
                <w:b/>
                <w:color w:val="FFFFFF"/>
              </w:rPr>
              <w:t>Errore da evitare</w:t>
            </w:r>
          </w:p>
        </w:tc>
      </w:tr>
      <w:tr>
        <w:trPr>
          <w:cantSplit/>
        </w:trPr>
        <w:tc>
          <w:tcPr>
            <w:tcW w:type="dxa" w:w="3408"/>
            <w:tcMar>
              <w:top w:w="85" w:type="dxa"/>
              <w:start w:w="120" w:type="dxa"/>
              <w:bottom w:w="85" w:type="dxa"/>
              <w:end w:w="120" w:type="dxa"/>
            </w:tcMar>
            <w:vAlign w:val="center"/>
          </w:tcPr>
          <w:p>
            <w:r>
              <w:rPr>
                <w:b/>
                <w:color w:val="00A6A6"/>
              </w:rPr>
              <w:t>Context</w:t>
            </w:r>
          </w:p>
        </w:tc>
        <w:tc>
          <w:tcPr>
            <w:tcW w:type="dxa" w:w="3408"/>
            <w:tcMar>
              <w:top w:w="85" w:type="dxa"/>
              <w:start w:w="120" w:type="dxa"/>
              <w:bottom w:w="85" w:type="dxa"/>
              <w:end w:w="120" w:type="dxa"/>
            </w:tcMar>
            <w:vAlign w:val="center"/>
          </w:tcPr>
          <w:p>
            <w:r>
              <w:t>Annotazione diagnostica del caso, esterna alla formal architecture.</w:t>
            </w:r>
          </w:p>
        </w:tc>
        <w:tc>
          <w:tcPr>
            <w:tcW w:type="dxa" w:w="3408"/>
            <w:tcMar>
              <w:top w:w="85" w:type="dxa"/>
              <w:start w:w="120" w:type="dxa"/>
              <w:bottom w:w="85" w:type="dxa"/>
              <w:end w:w="120" w:type="dxa"/>
            </w:tcMar>
            <w:vAlign w:val="center"/>
          </w:tcPr>
          <w:p>
            <w:r>
              <w:t>Chiamarlo “Layer 0”.</w:t>
            </w:r>
          </w:p>
        </w:tc>
      </w:tr>
      <w:tr>
        <w:trPr>
          <w:cantSplit/>
        </w:trPr>
        <w:tc>
          <w:tcPr>
            <w:tcW w:type="dxa" w:w="3408"/>
            <w:tcMar>
              <w:top w:w="85" w:type="dxa"/>
              <w:start w:w="120" w:type="dxa"/>
              <w:bottom w:w="85" w:type="dxa"/>
              <w:end w:w="120" w:type="dxa"/>
            </w:tcMar>
            <w:vAlign w:val="center"/>
          </w:tcPr>
          <w:p>
            <w:r>
              <w:rPr>
                <w:b/>
                <w:color w:val="00A6A6"/>
              </w:rPr>
              <w:t>Adversarial Trigger</w:t>
            </w:r>
          </w:p>
        </w:tc>
        <w:tc>
          <w:tcPr>
            <w:tcW w:type="dxa" w:w="3408"/>
            <w:tcMar>
              <w:top w:w="85" w:type="dxa"/>
              <w:start w:w="120" w:type="dxa"/>
              <w:bottom w:w="85" w:type="dxa"/>
              <w:end w:w="120" w:type="dxa"/>
            </w:tcMar>
            <w:vAlign w:val="center"/>
          </w:tcPr>
          <w:p>
            <w:r>
              <w:t>Stimulus attacker-side esterno al CAB.</w:t>
            </w:r>
          </w:p>
        </w:tc>
        <w:tc>
          <w:tcPr>
            <w:tcW w:type="dxa" w:w="3408"/>
            <w:tcMar>
              <w:top w:w="85" w:type="dxa"/>
              <w:start w:w="120" w:type="dxa"/>
              <w:bottom w:w="85" w:type="dxa"/>
              <w:end w:w="120" w:type="dxa"/>
            </w:tcMar>
            <w:vAlign w:val="center"/>
          </w:tcPr>
          <w:p>
            <w:r>
              <w:t>Trattarlo come Human Factor.</w:t>
            </w:r>
          </w:p>
        </w:tc>
      </w:tr>
      <w:tr>
        <w:trPr>
          <w:cantSplit/>
        </w:trPr>
        <w:tc>
          <w:tcPr>
            <w:tcW w:type="dxa" w:w="3408"/>
            <w:tcMar>
              <w:top w:w="85" w:type="dxa"/>
              <w:start w:w="120" w:type="dxa"/>
              <w:bottom w:w="85" w:type="dxa"/>
              <w:end w:w="120" w:type="dxa"/>
            </w:tcMar>
            <w:vAlign w:val="center"/>
          </w:tcPr>
          <w:p>
            <w:r>
              <w:rPr>
                <w:b/>
                <w:color w:val="00A6A6"/>
              </w:rPr>
              <w:t>Observed Action</w:t>
            </w:r>
          </w:p>
        </w:tc>
        <w:tc>
          <w:tcPr>
            <w:tcW w:type="dxa" w:w="3408"/>
            <w:tcMar>
              <w:top w:w="85" w:type="dxa"/>
              <w:start w:w="120" w:type="dxa"/>
              <w:bottom w:w="85" w:type="dxa"/>
              <w:end w:w="120" w:type="dxa"/>
            </w:tcMar>
            <w:vAlign w:val="center"/>
          </w:tcPr>
          <w:p>
            <w:r>
              <w:t>Cio che la persona ha fatto nel caso.</w:t>
            </w:r>
          </w:p>
        </w:tc>
        <w:tc>
          <w:tcPr>
            <w:tcW w:type="dxa" w:w="3408"/>
            <w:tcMar>
              <w:top w:w="85" w:type="dxa"/>
              <w:start w:w="120" w:type="dxa"/>
              <w:bottom w:w="85" w:type="dxa"/>
              <w:end w:w="120" w:type="dxa"/>
            </w:tcMar>
            <w:vAlign w:val="center"/>
          </w:tcPr>
          <w:p>
            <w:r>
              <w:t>Equipararlo automaticamente a un Behavioral Direct Factor.</w:t>
            </w:r>
          </w:p>
        </w:tc>
      </w:tr>
      <w:tr>
        <w:trPr>
          <w:cantSplit/>
        </w:trPr>
        <w:tc>
          <w:tcPr>
            <w:tcW w:type="dxa" w:w="3408"/>
            <w:tcMar>
              <w:top w:w="85" w:type="dxa"/>
              <w:start w:w="120" w:type="dxa"/>
              <w:bottom w:w="85" w:type="dxa"/>
              <w:end w:w="120" w:type="dxa"/>
            </w:tcMar>
            <w:vAlign w:val="center"/>
          </w:tcPr>
          <w:p>
            <w:r>
              <w:rPr>
                <w:b/>
                <w:color w:val="00A6A6"/>
              </w:rPr>
              <w:t>Motivation</w:t>
            </w:r>
          </w:p>
        </w:tc>
        <w:tc>
          <w:tcPr>
            <w:tcW w:type="dxa" w:w="3408"/>
            <w:tcMar>
              <w:top w:w="85" w:type="dxa"/>
              <w:start w:w="120" w:type="dxa"/>
              <w:bottom w:w="85" w:type="dxa"/>
              <w:end w:w="120" w:type="dxa"/>
            </w:tcMar>
            <w:vAlign w:val="center"/>
          </w:tcPr>
          <w:p>
            <w:r>
              <w:t>Construct emergente nella transizione tra fattori e comportamento.</w:t>
            </w:r>
          </w:p>
        </w:tc>
        <w:tc>
          <w:tcPr>
            <w:tcW w:type="dxa" w:w="3408"/>
            <w:tcMar>
              <w:top w:w="85" w:type="dxa"/>
              <w:start w:w="120" w:type="dxa"/>
              <w:bottom w:w="85" w:type="dxa"/>
              <w:end w:w="120" w:type="dxa"/>
            </w:tcMar>
            <w:vAlign w:val="center"/>
          </w:tcPr>
          <w:p>
            <w:r>
              <w:t>Presentarla come 51° factor o nuovo layer.</w:t>
            </w:r>
          </w:p>
        </w:tc>
      </w:tr>
      <w:tr>
        <w:trPr>
          <w:cantSplit/>
        </w:trPr>
        <w:tc>
          <w:tcPr>
            <w:tcW w:type="dxa" w:w="3408"/>
            <w:tcMar>
              <w:top w:w="85" w:type="dxa"/>
              <w:start w:w="120" w:type="dxa"/>
              <w:bottom w:w="85" w:type="dxa"/>
              <w:end w:w="120" w:type="dxa"/>
            </w:tcMar>
            <w:vAlign w:val="center"/>
          </w:tcPr>
          <w:p>
            <w:r>
              <w:rPr>
                <w:b/>
                <w:color w:val="00A6A6"/>
              </w:rPr>
              <w:t>Recurrence</w:t>
            </w:r>
          </w:p>
        </w:tc>
        <w:tc>
          <w:tcPr>
            <w:tcW w:type="dxa" w:w="3408"/>
            <w:tcMar>
              <w:top w:w="85" w:type="dxa"/>
              <w:start w:w="120" w:type="dxa"/>
              <w:bottom w:w="85" w:type="dxa"/>
              <w:end w:w="120" w:type="dxa"/>
            </w:tcMar>
            <w:vAlign w:val="center"/>
          </w:tcPr>
          <w:p>
            <w:r>
              <w:t>Pattern precedente → cambiamento/remissione → riemersione.</w:t>
            </w:r>
          </w:p>
        </w:tc>
        <w:tc>
          <w:tcPr>
            <w:tcW w:type="dxa" w:w="3408"/>
            <w:tcMar>
              <w:top w:w="85" w:type="dxa"/>
              <w:start w:w="120" w:type="dxa"/>
              <w:bottom w:w="85" w:type="dxa"/>
              <w:end w:w="120" w:type="dxa"/>
            </w:tcMar>
            <w:vAlign w:val="center"/>
          </w:tcPr>
          <w:p>
            <w:r>
              <w:t>Usare semplice ripetizione/habit come prova sufficiente.</w:t>
            </w:r>
          </w:p>
        </w:tc>
      </w:tr>
      <w:tr>
        <w:trPr>
          <w:cantSplit/>
        </w:trPr>
        <w:tc>
          <w:tcPr>
            <w:tcW w:type="dxa" w:w="3408"/>
            <w:tcMar>
              <w:top w:w="85" w:type="dxa"/>
              <w:start w:w="120" w:type="dxa"/>
              <w:bottom w:w="85" w:type="dxa"/>
              <w:end w:w="120" w:type="dxa"/>
            </w:tcMar>
            <w:vAlign w:val="center"/>
          </w:tcPr>
          <w:p>
            <w:r>
              <w:rPr>
                <w:b/>
                <w:color w:val="00A6A6"/>
              </w:rPr>
              <w:t>HCRA</w:t>
            </w:r>
          </w:p>
        </w:tc>
        <w:tc>
          <w:tcPr>
            <w:tcW w:type="dxa" w:w="3408"/>
            <w:tcMar>
              <w:top w:w="85" w:type="dxa"/>
              <w:start w:w="120" w:type="dxa"/>
              <w:bottom w:w="85" w:type="dxa"/>
              <w:end w:w="120" w:type="dxa"/>
            </w:tcMar>
            <w:vAlign w:val="center"/>
          </w:tcPr>
          <w:p>
            <w:r>
              <w:t>3 fasi canoniche: Identification &amp; Filtering; Quantification &amp; Assessment; Systemic Analysis.</w:t>
            </w:r>
          </w:p>
        </w:tc>
        <w:tc>
          <w:tcPr>
            <w:tcW w:type="dxa" w:w="3408"/>
            <w:tcMar>
              <w:top w:w="85" w:type="dxa"/>
              <w:start w:w="120" w:type="dxa"/>
              <w:bottom w:w="85" w:type="dxa"/>
              <w:end w:w="120" w:type="dxa"/>
            </w:tcMar>
            <w:vAlign w:val="center"/>
          </w:tcPr>
          <w:p>
            <w:r>
              <w:t>Chiamare Mitigation/Evaluation “fase 4/5 HCRA”.</w:t>
            </w:r>
          </w:p>
        </w:tc>
      </w:tr>
      <w:tr>
        <w:trPr>
          <w:cantSplit/>
        </w:trPr>
        <w:tc>
          <w:tcPr>
            <w:tcW w:type="dxa" w:w="3408"/>
            <w:tcMar>
              <w:top w:w="85" w:type="dxa"/>
              <w:start w:w="120" w:type="dxa"/>
              <w:bottom w:w="85" w:type="dxa"/>
              <w:end w:w="120" w:type="dxa"/>
            </w:tcMar>
            <w:vAlign w:val="center"/>
          </w:tcPr>
          <w:p>
            <w:r>
              <w:rPr>
                <w:b/>
                <w:color w:val="00A6A6"/>
              </w:rPr>
              <w:t>Mechanism 5</w:t>
            </w:r>
          </w:p>
        </w:tc>
        <w:tc>
          <w:tcPr>
            <w:tcW w:type="dxa" w:w="3408"/>
            <w:tcMar>
              <w:top w:w="85" w:type="dxa"/>
              <w:start w:w="120" w:type="dxa"/>
              <w:bottom w:w="85" w:type="dxa"/>
              <w:end w:w="120" w:type="dxa"/>
            </w:tcMar>
            <w:vAlign w:val="center"/>
          </w:tcPr>
          <w:p>
            <w:r>
              <w:t>Bias + high interpersonal trust baseline (= low Lack of Trust) puo contribuire a Overconfidence.</w:t>
            </w:r>
          </w:p>
        </w:tc>
        <w:tc>
          <w:tcPr>
            <w:tcW w:type="dxa" w:w="3408"/>
            <w:tcMar>
              <w:top w:w="85" w:type="dxa"/>
              <w:start w:w="120" w:type="dxa"/>
              <w:bottom w:w="85" w:type="dxa"/>
              <w:end w:w="120" w:type="dxa"/>
            </w:tcMar>
            <w:vAlign w:val="center"/>
          </w:tcPr>
          <w:p>
            <w:r>
              <w:t>Dire high Lack of Trust → Overconfidence.</w:t>
            </w:r>
          </w:p>
        </w:tc>
      </w:tr>
      <w:tr>
        <w:trPr>
          <w:cantSplit/>
        </w:trPr>
        <w:tc>
          <w:tcPr>
            <w:tcW w:type="dxa" w:w="3408"/>
            <w:tcMar>
              <w:top w:w="85" w:type="dxa"/>
              <w:start w:w="120" w:type="dxa"/>
              <w:bottom w:w="85" w:type="dxa"/>
              <w:end w:w="120" w:type="dxa"/>
            </w:tcMar>
            <w:vAlign w:val="center"/>
          </w:tcPr>
          <w:p>
            <w:r>
              <w:rPr>
                <w:b/>
                <w:color w:val="00A6A6"/>
              </w:rPr>
              <w:t>Measurement</w:t>
            </w:r>
          </w:p>
        </w:tc>
        <w:tc>
          <w:tcPr>
            <w:tcW w:type="dxa" w:w="3408"/>
            <w:tcMar>
              <w:top w:w="85" w:type="dxa"/>
              <w:start w:w="120" w:type="dxa"/>
              <w:bottom w:w="85" w:type="dxa"/>
              <w:end w:w="120" w:type="dxa"/>
            </w:tcMar>
            <w:vAlign w:val="center"/>
          </w:tcPr>
          <w:p>
            <w:r>
              <w:t>Assessment ortogonale all'architettura causale.</w:t>
            </w:r>
          </w:p>
        </w:tc>
        <w:tc>
          <w:tcPr>
            <w:tcW w:type="dxa" w:w="3408"/>
            <w:tcMar>
              <w:top w:w="85" w:type="dxa"/>
              <w:start w:w="120" w:type="dxa"/>
              <w:bottom w:w="85" w:type="dxa"/>
              <w:end w:w="120" w:type="dxa"/>
            </w:tcMar>
            <w:vAlign w:val="center"/>
          </w:tcPr>
          <w:p>
            <w:r>
              <w:t>Trattarlo come layer o causal mechanism.</w:t>
            </w:r>
          </w:p>
        </w:tc>
      </w:tr>
      <w:tr>
        <w:trPr>
          <w:cantSplit/>
        </w:trPr>
        <w:tc>
          <w:tcPr>
            <w:tcW w:type="dxa" w:w="3408"/>
            <w:tcMar>
              <w:top w:w="85" w:type="dxa"/>
              <w:start w:w="120" w:type="dxa"/>
              <w:bottom w:w="85" w:type="dxa"/>
              <w:end w:w="120" w:type="dxa"/>
            </w:tcMar>
            <w:vAlign w:val="center"/>
          </w:tcPr>
          <w:p>
            <w:r>
              <w:rPr>
                <w:b/>
                <w:color w:val="00A6A6"/>
              </w:rPr>
              <w:t>82.8%</w:t>
            </w:r>
          </w:p>
        </w:tc>
        <w:tc>
          <w:tcPr>
            <w:tcW w:type="dxa" w:w="3408"/>
            <w:tcMar>
              <w:top w:w="85" w:type="dxa"/>
              <w:start w:w="120" w:type="dxa"/>
              <w:bottom w:w="85" w:type="dxa"/>
              <w:end w:w="120" w:type="dxa"/>
            </w:tcMar>
            <w:vAlign w:val="center"/>
          </w:tcPr>
          <w:p>
            <w:r>
              <w:t>Quota di interactions architecture-compliant nel paper.</w:t>
            </w:r>
          </w:p>
        </w:tc>
        <w:tc>
          <w:tcPr>
            <w:tcW w:type="dxa" w:w="3408"/>
            <w:tcMar>
              <w:top w:w="85" w:type="dxa"/>
              <w:start w:w="120" w:type="dxa"/>
              <w:bottom w:w="85" w:type="dxa"/>
              <w:end w:w="120" w:type="dxa"/>
            </w:tcMar>
            <w:vAlign w:val="center"/>
          </w:tcPr>
          <w:p>
            <w:r>
              <w:t>Interpretarla come predictive accuracy o prova causale.</w:t>
            </w:r>
          </w:p>
        </w:tc>
      </w:tr>
    </w:tbl>
    <w:p>
      <w:pPr>
        <w:pStyle w:val="Heading1"/>
      </w:pPr>
      <w:r>
        <w:t>5. La grammatica diagnostica da usare nei casi</w:t>
      </w:r>
    </w:p>
    <w:tbl>
      <w:tblPr>
        <w:tblW w:type="auto" w:w="0"/>
        <w:jc w:val="center"/>
        <w:tblLayout w:type="autofit"/>
        <w:tblLook w:firstColumn="1" w:firstRow="1" w:lastColumn="0" w:lastRow="0" w:noHBand="0" w:noVBand="1" w:val="04A0"/>
      </w:tblPr>
      <w:tblGrid>
        <w:gridCol w:w="10224"/>
      </w:tblGrid>
      <w:tr>
        <w:tc>
          <w:tcPr>
            <w:tcW w:type="dxa" w:w="10224"/>
            <w:shd w:fill="F3F7F9"/>
            <w:tcMar>
              <w:top w:w="140" w:type="dxa"/>
              <w:start w:w="180" w:type="dxa"/>
              <w:bottom w:w="140" w:type="dxa"/>
              <w:end w:w="180" w:type="dxa"/>
            </w:tcMar>
          </w:tcPr>
          <w:p>
            <w:pPr>
              <w:pStyle w:val="Callout"/>
              <w:ind w:left="0"/>
            </w:pPr>
            <w:r>
              <w:rPr>
                <w:color w:val="0B1F33"/>
              </w:rPr>
              <w:t>FACTS → Context / Trigger → formal Human Factors → Observed Action → threat-specific Outcome → competing pathways → discriminating evidence → requirement → mitigation → evaluation</w:t>
            </w:r>
          </w:p>
        </w:tc>
      </w:tr>
    </w:tbl>
    <w:p>
      <w:r>
        <w:t>Questa e una sequenza di reasoning del corso, non una nuova architettura MORPHEUS. La formal architecture resta Layer 1 Modulators → Layer 2 CAB Direct Factors → Layer 3 Outcome, con Trigger esterno al CAB; Context e Observed Action sono annotazioni.</w:t>
      </w:r>
    </w:p>
    <w:p>
      <w:pPr>
        <w:pStyle w:val="Heading1"/>
      </w:pPr>
      <w:r>
        <w:t>6. Le domande che dovrebbero tornare in ogni modulo</w:t>
      </w:r>
    </w:p>
    <w:p>
      <w:pPr>
        <w:pStyle w:val="ListBullet"/>
        <w:spacing w:after="50"/>
        <w:ind w:left="317" w:hanging="144"/>
      </w:pPr>
      <w:r>
        <w:t>Che cosa sappiamo davvero dai fatti del caso?</w:t>
      </w:r>
    </w:p>
    <w:p>
      <w:pPr>
        <w:pStyle w:val="ListBullet"/>
        <w:spacing w:after="50"/>
        <w:ind w:left="317" w:hanging="144"/>
      </w:pPr>
      <w:r>
        <w:t>Quale parola sto usando come descrizione e quale come construct formale?</w:t>
      </w:r>
    </w:p>
    <w:p>
      <w:pPr>
        <w:pStyle w:val="ListBullet"/>
        <w:spacing w:after="50"/>
        <w:ind w:left="317" w:hanging="144"/>
      </w:pPr>
      <w:r>
        <w:t>Questa freccia esprime causalita dimostrata, associazione o soltanto una hypothesis?</w:t>
      </w:r>
    </w:p>
    <w:p>
      <w:pPr>
        <w:pStyle w:val="ListBullet"/>
        <w:spacing w:after="50"/>
        <w:ind w:left="317" w:hanging="144"/>
      </w:pPr>
      <w:r>
        <w:t>Quale spiegazione alternativa e compatibile con la stessa Observed Action?</w:t>
      </w:r>
    </w:p>
    <w:p>
      <w:pPr>
        <w:pStyle w:val="ListBullet"/>
        <w:spacing w:after="50"/>
        <w:ind w:left="317" w:hanging="144"/>
      </w:pPr>
      <w:r>
        <w:t>Quale dato sarebbe discriminante tra le due spiegazioni?</w:t>
      </w:r>
    </w:p>
    <w:p>
      <w:pPr>
        <w:pStyle w:val="ListBullet"/>
        <w:spacing w:after="50"/>
        <w:ind w:left="317" w:hanging="144"/>
      </w:pPr>
      <w:r>
        <w:t>Se la diagnosi cambia, cambia anche il requisito o la mitigazione?</w:t>
      </w:r>
    </w:p>
    <w:p>
      <w:pPr>
        <w:pStyle w:val="ListBullet"/>
        <w:spacing w:after="50"/>
        <w:ind w:left="317" w:hanging="144"/>
      </w:pPr>
      <w:r>
        <w:t>Che cosa puo andare storto dopo l'intervento: burden, workaround, nuova dipendenza, nuovo failure mode?</w:t>
      </w:r>
    </w:p>
    <w:p>
      <w:pPr>
        <w:pStyle w:val="ListBullet"/>
        <w:spacing w:after="50"/>
        <w:ind w:left="317" w:hanging="144"/>
      </w:pPr>
      <w:r>
        <w:t>Che cosa non posso ancora concludere?</w:t>
      </w:r>
    </w:p>
    <w:p>
      <w:pPr>
        <w:pStyle w:val="Heading1"/>
      </w:pPr>
      <w:r>
        <w:t>7. Collegamento con l'esame</w:t>
      </w:r>
    </w:p>
    <w:p>
      <w:r>
        <w:t>L'esame scritto in presenza deve rispecchiare la narrativa del corso. La banca domande dovrebbe quindi evitare di essere una lista di definizioni e mantenere tre livelli di difficolta cognitiva:</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0B1F33"/>
            <w:tcMar>
              <w:top w:w="100" w:type="dxa"/>
              <w:start w:w="120" w:type="dxa"/>
              <w:bottom w:w="100" w:type="dxa"/>
              <w:end w:w="120" w:type="dxa"/>
            </w:tcMar>
          </w:tcPr>
          <w:p>
            <w:pPr>
              <w:jc w:val="center"/>
            </w:pPr>
            <w:r>
              <w:rPr>
                <w:b/>
                <w:color w:val="FFFFFF"/>
              </w:rPr>
              <w:t>Quota</w:t>
            </w:r>
          </w:p>
        </w:tc>
        <w:tc>
          <w:tcPr>
            <w:tcW w:type="dxa" w:w="3408"/>
            <w:shd w:fill="0B1F33"/>
            <w:tcMar>
              <w:top w:w="100" w:type="dxa"/>
              <w:start w:w="120" w:type="dxa"/>
              <w:bottom w:w="100" w:type="dxa"/>
              <w:end w:w="120" w:type="dxa"/>
            </w:tcMar>
          </w:tcPr>
          <w:p>
            <w:pPr>
              <w:jc w:val="center"/>
            </w:pPr>
            <w:r>
              <w:rPr>
                <w:b/>
                <w:color w:val="FFFFFF"/>
              </w:rPr>
              <w:t>Tipo di domanda</w:t>
            </w:r>
          </w:p>
        </w:tc>
        <w:tc>
          <w:tcPr>
            <w:tcW w:type="dxa" w:w="3408"/>
            <w:shd w:fill="0B1F33"/>
            <w:tcMar>
              <w:top w:w="100" w:type="dxa"/>
              <w:start w:w="120" w:type="dxa"/>
              <w:bottom w:w="100" w:type="dxa"/>
              <w:end w:w="120" w:type="dxa"/>
            </w:tcMar>
          </w:tcPr>
          <w:p>
            <w:pPr>
              <w:jc w:val="center"/>
            </w:pPr>
            <w:r>
              <w:rPr>
                <w:b/>
                <w:color w:val="FFFFFF"/>
              </w:rPr>
              <w:t>Cosa misura</w:t>
            </w:r>
          </w:p>
        </w:tc>
      </w:tr>
      <w:tr>
        <w:trPr>
          <w:cantSplit/>
        </w:trPr>
        <w:tc>
          <w:tcPr>
            <w:tcW w:type="dxa" w:w="3408"/>
            <w:tcMar>
              <w:top w:w="100" w:type="dxa"/>
              <w:start w:w="120" w:type="dxa"/>
              <w:bottom w:w="100" w:type="dxa"/>
              <w:end w:w="120" w:type="dxa"/>
            </w:tcMar>
            <w:vAlign w:val="center"/>
          </w:tcPr>
          <w:p>
            <w:pPr>
              <w:jc w:val="center"/>
            </w:pPr>
            <w:r>
              <w:rPr>
                <w:b/>
              </w:rPr>
              <w:t>~1/3</w:t>
            </w:r>
          </w:p>
        </w:tc>
        <w:tc>
          <w:tcPr>
            <w:tcW w:type="dxa" w:w="3408"/>
            <w:tcMar>
              <w:top w:w="100" w:type="dxa"/>
              <w:start w:w="120" w:type="dxa"/>
              <w:bottom w:w="100" w:type="dxa"/>
              <w:end w:w="120" w:type="dxa"/>
            </w:tcMar>
            <w:vAlign w:val="center"/>
          </w:tcPr>
          <w:p>
            <w:r>
              <w:t>Conoscenza e comprensione</w:t>
            </w:r>
          </w:p>
        </w:tc>
        <w:tc>
          <w:tcPr>
            <w:tcW w:type="dxa" w:w="3408"/>
            <w:tcMar>
              <w:top w:w="100" w:type="dxa"/>
              <w:start w:w="120" w:type="dxa"/>
              <w:bottom w:w="100" w:type="dxa"/>
              <w:end w:w="120" w:type="dxa"/>
            </w:tcMar>
            <w:vAlign w:val="center"/>
          </w:tcPr>
          <w:p>
            <w:r>
              <w:t>Definizioni, architettura, fattori, meccanismi, HCRA, measurement.</w:t>
            </w:r>
          </w:p>
        </w:tc>
      </w:tr>
      <w:tr>
        <w:trPr>
          <w:cantSplit/>
        </w:trPr>
        <w:tc>
          <w:tcPr>
            <w:tcW w:type="dxa" w:w="3408"/>
            <w:tcMar>
              <w:top w:w="100" w:type="dxa"/>
              <w:start w:w="120" w:type="dxa"/>
              <w:bottom w:w="100" w:type="dxa"/>
              <w:end w:w="120" w:type="dxa"/>
            </w:tcMar>
            <w:vAlign w:val="center"/>
          </w:tcPr>
          <w:p>
            <w:pPr>
              <w:jc w:val="center"/>
            </w:pPr>
            <w:r>
              <w:rPr>
                <w:b/>
              </w:rPr>
              <w:t>~1/3</w:t>
            </w:r>
          </w:p>
        </w:tc>
        <w:tc>
          <w:tcPr>
            <w:tcW w:type="dxa" w:w="3408"/>
            <w:tcMar>
              <w:top w:w="100" w:type="dxa"/>
              <w:start w:w="120" w:type="dxa"/>
              <w:bottom w:w="100" w:type="dxa"/>
              <w:end w:w="120" w:type="dxa"/>
            </w:tcMar>
            <w:vAlign w:val="center"/>
          </w:tcPr>
          <w:p>
            <w:r>
              <w:t>Applicazione</w:t>
            </w:r>
          </w:p>
        </w:tc>
        <w:tc>
          <w:tcPr>
            <w:tcW w:type="dxa" w:w="3408"/>
            <w:tcMar>
              <w:top w:w="100" w:type="dxa"/>
              <w:start w:w="120" w:type="dxa"/>
              <w:bottom w:w="100" w:type="dxa"/>
              <w:end w:w="120" w:type="dxa"/>
            </w:tcMar>
            <w:vAlign w:val="center"/>
          </w:tcPr>
          <w:p>
            <w:r>
              <w:t>Classificare correttamente Context/Trigger/HF/Action/Outcome e riconoscere errori concettuali.</w:t>
            </w:r>
          </w:p>
        </w:tc>
      </w:tr>
      <w:tr>
        <w:trPr>
          <w:cantSplit/>
        </w:trPr>
        <w:tc>
          <w:tcPr>
            <w:tcW w:type="dxa" w:w="3408"/>
            <w:tcMar>
              <w:top w:w="100" w:type="dxa"/>
              <w:start w:w="120" w:type="dxa"/>
              <w:bottom w:w="100" w:type="dxa"/>
              <w:end w:w="120" w:type="dxa"/>
            </w:tcMar>
            <w:vAlign w:val="center"/>
          </w:tcPr>
          <w:p>
            <w:pPr>
              <w:jc w:val="center"/>
            </w:pPr>
            <w:r>
              <w:rPr>
                <w:b/>
              </w:rPr>
              <w:t>~1/3</w:t>
            </w:r>
          </w:p>
        </w:tc>
        <w:tc>
          <w:tcPr>
            <w:tcW w:type="dxa" w:w="3408"/>
            <w:tcMar>
              <w:top w:w="100" w:type="dxa"/>
              <w:start w:w="120" w:type="dxa"/>
              <w:bottom w:w="100" w:type="dxa"/>
              <w:end w:w="120" w:type="dxa"/>
            </w:tcMar>
            <w:vAlign w:val="center"/>
          </w:tcPr>
          <w:p>
            <w:r>
              <w:t>Mini-casi di reasoning</w:t>
            </w:r>
          </w:p>
        </w:tc>
        <w:tc>
          <w:tcPr>
            <w:tcW w:type="dxa" w:w="3408"/>
            <w:tcMar>
              <w:top w:w="100" w:type="dxa"/>
              <w:start w:w="120" w:type="dxa"/>
              <w:bottom w:w="100" w:type="dxa"/>
              <w:end w:w="120" w:type="dxa"/>
            </w:tcMar>
            <w:vAlign w:val="center"/>
          </w:tcPr>
          <w:p>
            <w:r>
              <w:t>Competing hypotheses, evidence discriminante, requisito, mitigazione, side effect, inference limit.</w:t>
            </w:r>
          </w:p>
        </w:tc>
      </w:tr>
    </w:tbl>
    <w:p>
      <w:pPr>
        <w:pStyle w:val="Heading1"/>
      </w:pPr>
      <w:r>
        <w:t>8. Promemoria finale per il docente</w:t>
      </w:r>
    </w:p>
    <w:tbl>
      <w:tblPr>
        <w:tblW w:type="auto" w:w="0"/>
        <w:jc w:val="center"/>
        <w:tblLayout w:type="autofit"/>
        <w:tblLook w:firstColumn="1" w:firstRow="1" w:lastColumn="0" w:lastRow="0" w:noHBand="0" w:noVBand="1" w:val="04A0"/>
      </w:tblPr>
      <w:tblGrid>
        <w:gridCol w:w="10224"/>
      </w:tblGrid>
      <w:tr>
        <w:tc>
          <w:tcPr>
            <w:tcW w:type="dxa" w:w="10224"/>
            <w:shd w:fill="FFF8E1"/>
            <w:tcMar>
              <w:top w:w="140" w:type="dxa"/>
              <w:start w:w="180" w:type="dxa"/>
              <w:bottom w:w="140" w:type="dxa"/>
              <w:end w:w="180" w:type="dxa"/>
            </w:tcMar>
          </w:tcPr>
          <w:p>
            <w:pPr>
              <w:pStyle w:val="Callout"/>
              <w:ind w:left="0"/>
            </w:pPr>
            <w:r>
              <w:rPr>
                <w:color w:val="0B1F33"/>
              </w:rPr>
              <w:t>Se una lezione sta diventando una lista di termini, torna a un caso. Se un caso sta diventando una storia troppo facile, introduci una competing hypothesis. Se una hypothesis sembra convincente, chiedi quale evidence potrebbe smentirla. Se una mitigation sembra ovvia, chiedi quale side effect puo introdurre.</w:t>
            </w:r>
          </w:p>
        </w:tc>
      </w:tr>
    </w:tbl>
    <w:p>
      <w:r>
        <w:t xml:space="preserve">Formula di chiusura del corso: </w:t>
      </w:r>
      <w:r>
        <w:rPr>
          <w:b/>
          <w:color w:val="00A6A6"/>
        </w:rPr>
        <w:t>Diagnosis before mitigation. Evidence before certainty. Human factor does not mean human fault.</w:t>
      </w:r>
    </w:p>
    <w:sectPr w:rsidR="00FC693F" w:rsidRPr="0006063C" w:rsidSect="00034616">
      <w:footerReference w:type="default" r:id="rId9"/>
      <w:pgSz w:w="12240" w:h="15840"/>
      <w:pgMar w:top="864"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07D8B"/>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iberation Sans" w:hAnsi="Liberation Sans"/>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Liberation Sans" w:hAnsi="Liberation Sans"/>
      <w:b/>
      <w:bCs/>
      <w:color w:val="0B1F33"/>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Liberation Sans" w:hAnsi="Liberation Sans"/>
      <w:b/>
      <w:bCs/>
      <w:color w:val="00A6A6"/>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Liberation Sans" w:hAnsi="Liberation Sans"/>
      <w:b/>
      <w:bCs/>
      <w:color w:val="0B1F3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Liberation Sans" w:hAnsi="Liberation Sans"/>
      <w:b/>
      <w:color w:val="0B1F3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40"/>
    </w:pPr>
    <w:rPr>
      <w:rFonts w:ascii="Liberation Sans" w:hAnsi="Liberation Sans"/>
      <w:color w:val="607D8B"/>
      <w:sz w:val="17"/>
    </w:rPr>
  </w:style>
  <w:style w:type="paragraph" w:customStyle="1" w:styleId="Callout">
    <w:name w:val="Callout"/>
    <w:pPr>
      <w:spacing w:before="100" w:after="140"/>
      <w:ind w:left="259" w:right="259"/>
    </w:pPr>
    <w:rPr>
      <w:rFonts w:ascii="Liberation Sans" w:hAnsi="Liberation Sans"/>
      <w:b/>
      <w:color w:val="0B1F3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